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5BD" w14:textId="19DB615C" w:rsidR="00A05DC8" w:rsidRDefault="005C3091">
      <w:pPr>
        <w:rPr>
          <w:b/>
          <w:bCs/>
        </w:rPr>
      </w:pPr>
      <w:r w:rsidRPr="005C3091">
        <w:rPr>
          <w:b/>
          <w:bCs/>
        </w:rPr>
        <w:t>Annual Trustee Minutes/Resolutions</w:t>
      </w:r>
    </w:p>
    <w:p w14:paraId="2F0B9451" w14:textId="0648635D" w:rsidR="001F1DE9" w:rsidRPr="001F1DE9" w:rsidRDefault="001F1DE9">
      <w:r w:rsidRPr="00BC56EA">
        <w:t xml:space="preserve">This document outlines the content updates for the </w:t>
      </w:r>
      <w:r w:rsidRPr="001F1DE9">
        <w:t>Annual Trustee</w:t>
      </w:r>
      <w:r>
        <w:t xml:space="preserve"> </w:t>
      </w:r>
      <w:r w:rsidRPr="001F1DE9">
        <w:t>Minutes/Resolutions</w:t>
      </w:r>
      <w:r>
        <w:t>.</w:t>
      </w:r>
    </w:p>
    <w:tbl>
      <w:tblPr>
        <w:tblStyle w:val="TableGrid"/>
        <w:tblW w:w="0" w:type="auto"/>
        <w:tblLook w:val="04A0" w:firstRow="1" w:lastRow="0" w:firstColumn="1" w:lastColumn="0" w:noHBand="0" w:noVBand="1"/>
      </w:tblPr>
      <w:tblGrid>
        <w:gridCol w:w="1696"/>
        <w:gridCol w:w="3686"/>
        <w:gridCol w:w="3634"/>
      </w:tblGrid>
      <w:tr w:rsidR="00A05DC8" w:rsidRPr="005C3091" w14:paraId="767B8212" w14:textId="77777777" w:rsidTr="005C3091">
        <w:tc>
          <w:tcPr>
            <w:tcW w:w="1696" w:type="dxa"/>
          </w:tcPr>
          <w:p w14:paraId="32E4BD4A" w14:textId="02EBFE11" w:rsidR="00A05DC8" w:rsidRPr="005C3091" w:rsidRDefault="00A05DC8">
            <w:pPr>
              <w:rPr>
                <w:b/>
                <w:bCs/>
              </w:rPr>
            </w:pPr>
            <w:r w:rsidRPr="005C3091">
              <w:rPr>
                <w:b/>
                <w:bCs/>
              </w:rPr>
              <w:t>Area</w:t>
            </w:r>
          </w:p>
        </w:tc>
        <w:tc>
          <w:tcPr>
            <w:tcW w:w="3686" w:type="dxa"/>
          </w:tcPr>
          <w:p w14:paraId="424CED41" w14:textId="488BB67D" w:rsidR="00A05DC8" w:rsidRPr="005C3091" w:rsidRDefault="00A05DC8">
            <w:pPr>
              <w:rPr>
                <w:b/>
                <w:bCs/>
              </w:rPr>
            </w:pPr>
            <w:r w:rsidRPr="005C3091">
              <w:rPr>
                <w:b/>
                <w:bCs/>
              </w:rPr>
              <w:t>Old Text</w:t>
            </w:r>
          </w:p>
        </w:tc>
        <w:tc>
          <w:tcPr>
            <w:tcW w:w="3634" w:type="dxa"/>
          </w:tcPr>
          <w:p w14:paraId="1C369EEC" w14:textId="23C162B1" w:rsidR="00A05DC8" w:rsidRPr="005C3091" w:rsidRDefault="00A05DC8">
            <w:pPr>
              <w:rPr>
                <w:b/>
                <w:bCs/>
              </w:rPr>
            </w:pPr>
            <w:r w:rsidRPr="005C3091">
              <w:rPr>
                <w:b/>
                <w:bCs/>
              </w:rPr>
              <w:t>New Text</w:t>
            </w:r>
          </w:p>
        </w:tc>
      </w:tr>
      <w:tr w:rsidR="00323F25" w:rsidRPr="005C3091" w14:paraId="43770D00" w14:textId="77777777" w:rsidTr="005C3091">
        <w:tc>
          <w:tcPr>
            <w:tcW w:w="1696" w:type="dxa"/>
          </w:tcPr>
          <w:p w14:paraId="5956F779" w14:textId="5ED85AF0" w:rsidR="00323F25" w:rsidRPr="005C3091" w:rsidRDefault="00323F25" w:rsidP="00A05DC8">
            <w:pPr>
              <w:rPr>
                <w:b/>
                <w:bCs/>
              </w:rPr>
            </w:pPr>
            <w:r w:rsidRPr="005C3091">
              <w:rPr>
                <w:b/>
                <w:bCs/>
              </w:rPr>
              <w:t>Payment of Benefits</w:t>
            </w:r>
          </w:p>
        </w:tc>
        <w:tc>
          <w:tcPr>
            <w:tcW w:w="3686" w:type="dxa"/>
          </w:tcPr>
          <w:p w14:paraId="1393700B" w14:textId="77777777" w:rsidR="00323F25" w:rsidRPr="005C3091" w:rsidRDefault="00323F25" w:rsidP="005C3091">
            <w:r w:rsidRPr="005C3091">
              <w:t>The trustee has ensured that any payment of benefits made from the fund meet the requirement of the fund’s deed and do not breach the superannuation laws in relation to:</w:t>
            </w:r>
          </w:p>
          <w:p w14:paraId="1A3E2400" w14:textId="77777777" w:rsidR="00323F25" w:rsidRPr="005C3091" w:rsidRDefault="00323F25" w:rsidP="005C3091">
            <w:r w:rsidRPr="005C3091">
              <w:t>1.   making payment to members; and</w:t>
            </w:r>
          </w:p>
          <w:p w14:paraId="5CF7CAD9" w14:textId="77777777" w:rsidR="00323F25" w:rsidRPr="005C3091" w:rsidRDefault="00323F25" w:rsidP="005C3091">
            <w:r w:rsidRPr="005C3091">
              <w:t>2.   breaching the fund's or the member's investment strategy.</w:t>
            </w:r>
          </w:p>
          <w:p w14:paraId="7B39F189" w14:textId="292DBF2D" w:rsidR="00323F25" w:rsidRPr="00477F84" w:rsidRDefault="00323F25" w:rsidP="00477F84">
            <w:pPr>
              <w:spacing w:line="276" w:lineRule="auto"/>
              <w:rPr>
                <w:rFonts w:eastAsia="Aptos" w:cs="Times New Roman"/>
              </w:rPr>
            </w:pPr>
            <w:r w:rsidRPr="005C3091">
              <w:t>The trustees have reviewed the payment of benefits and received advice that the transfer is in accordance with the deed and the superannuation laws. As such the trustee has resolved to allow the payment of the following benefits on behalf of the members:</w:t>
            </w:r>
          </w:p>
        </w:tc>
        <w:tc>
          <w:tcPr>
            <w:tcW w:w="3634" w:type="dxa"/>
          </w:tcPr>
          <w:p w14:paraId="70D38A1B" w14:textId="77777777" w:rsidR="00323F25" w:rsidRPr="005C3091" w:rsidRDefault="00323F25" w:rsidP="005C3091">
            <w:pPr>
              <w:keepNext/>
              <w:keepLines/>
              <w:spacing w:line="240" w:lineRule="atLeast"/>
            </w:pPr>
            <w:r w:rsidRPr="005C3091">
              <w:t>The trustee(s) have ensured that any payment of benefits made from the fund meet the requirement of the fund’s deed and do not breach the superannuation laws in relation to:</w:t>
            </w:r>
          </w:p>
          <w:p w14:paraId="7E661AE7" w14:textId="77777777" w:rsidR="00323F25" w:rsidRPr="005C3091" w:rsidRDefault="00323F25" w:rsidP="005C3091">
            <w:pPr>
              <w:keepNext/>
              <w:keepLines/>
              <w:spacing w:line="240" w:lineRule="atLeast"/>
            </w:pPr>
            <w:r w:rsidRPr="005C3091">
              <w:t>1.   making payment to members; and</w:t>
            </w:r>
          </w:p>
          <w:p w14:paraId="2E22FBBE" w14:textId="77777777" w:rsidR="00323F25" w:rsidRPr="005C3091" w:rsidRDefault="00323F25" w:rsidP="005C3091">
            <w:pPr>
              <w:keepNext/>
              <w:keepLines/>
              <w:spacing w:line="240" w:lineRule="atLeast"/>
            </w:pPr>
            <w:r w:rsidRPr="005C3091">
              <w:t>2.   breaching the fund's or the member's investment strategy.</w:t>
            </w:r>
          </w:p>
          <w:p w14:paraId="78F3FE7D" w14:textId="0F206A30" w:rsidR="00323F25" w:rsidRPr="005C3091" w:rsidRDefault="00323F25" w:rsidP="005C3091">
            <w:pPr>
              <w:spacing w:line="276" w:lineRule="auto"/>
              <w:rPr>
                <w:rFonts w:eastAsia="Aptos" w:cs="Times New Roman"/>
              </w:rPr>
            </w:pPr>
            <w:r w:rsidRPr="005C3091">
              <w:t>The trustee(s) have reviewed the payment of benefits and received advice that the transfer is in accordance with the deed and the superannuation laws. As such the trustee(s) have resolved to allow the payment of the following benefits on behalf of the members: </w:t>
            </w:r>
          </w:p>
        </w:tc>
      </w:tr>
      <w:tr w:rsidR="00323F25" w:rsidRPr="005C3091" w14:paraId="6BAB7715" w14:textId="77777777" w:rsidTr="005C3091">
        <w:tc>
          <w:tcPr>
            <w:tcW w:w="1696" w:type="dxa"/>
          </w:tcPr>
          <w:p w14:paraId="56F46E90" w14:textId="4C32F6F2" w:rsidR="00323F25" w:rsidRPr="005C3091" w:rsidRDefault="00323F25" w:rsidP="005C3091">
            <w:pPr>
              <w:rPr>
                <w:b/>
                <w:bCs/>
              </w:rPr>
            </w:pPr>
            <w:r w:rsidRPr="005C3091">
              <w:rPr>
                <w:b/>
                <w:bCs/>
              </w:rPr>
              <w:t>Acceptance of Rollovers</w:t>
            </w:r>
          </w:p>
        </w:tc>
        <w:tc>
          <w:tcPr>
            <w:tcW w:w="3686" w:type="dxa"/>
          </w:tcPr>
          <w:p w14:paraId="41B46685" w14:textId="77777777" w:rsidR="00323F25" w:rsidRPr="005C3091" w:rsidRDefault="00323F25" w:rsidP="005C3091">
            <w:r w:rsidRPr="005C3091">
              <w:t>The trustee has ensured that any rollovers made to the fund meet the requirements of the fund’s deed and do not breach the superannuation laws in relation to:</w:t>
            </w:r>
          </w:p>
          <w:p w14:paraId="40CDE42B" w14:textId="77777777" w:rsidR="00323F25" w:rsidRPr="005C3091" w:rsidRDefault="00323F25" w:rsidP="005C3091">
            <w:r w:rsidRPr="005C3091">
              <w:t>1.   making rollovers between funds; and</w:t>
            </w:r>
          </w:p>
          <w:p w14:paraId="35B71605" w14:textId="77777777" w:rsidR="00323F25" w:rsidRPr="005C3091" w:rsidRDefault="00323F25" w:rsidP="005C3091">
            <w:r w:rsidRPr="005C3091">
              <w:t>2.   breaching the fund's or the member's investment strategy</w:t>
            </w:r>
          </w:p>
          <w:p w14:paraId="7A42626D" w14:textId="4BD493D5" w:rsidR="00323F25" w:rsidRPr="005C3091" w:rsidRDefault="00323F25" w:rsidP="005C3091">
            <w:r w:rsidRPr="005C3091">
              <w:t>The trustees have reviewed the rollovers and received advice that the rollovers are in accordance with the trust deed and the rules of the fund and the superannuation laws. As such the trustee has resolved to accept the following rollovers on behalf of the members:</w:t>
            </w:r>
          </w:p>
        </w:tc>
        <w:tc>
          <w:tcPr>
            <w:tcW w:w="3634" w:type="dxa"/>
          </w:tcPr>
          <w:p w14:paraId="4A078F5B" w14:textId="77777777" w:rsidR="00323F25" w:rsidRPr="005C3091" w:rsidRDefault="00323F25" w:rsidP="005C3091">
            <w:pPr>
              <w:keepNext/>
              <w:keepLines/>
              <w:spacing w:line="240" w:lineRule="atLeast"/>
            </w:pPr>
            <w:r w:rsidRPr="005C3091">
              <w:t>The trustee(s) have ensured that any rollovers made to the fund meet the requirements of the fund’s deed and do not breach the superannuation laws in relation to:</w:t>
            </w:r>
          </w:p>
          <w:p w14:paraId="1F13778B" w14:textId="77777777" w:rsidR="00323F25" w:rsidRPr="005C3091" w:rsidRDefault="00323F25" w:rsidP="005C3091">
            <w:pPr>
              <w:keepNext/>
              <w:keepLines/>
              <w:spacing w:line="240" w:lineRule="atLeast"/>
            </w:pPr>
            <w:r w:rsidRPr="005C3091">
              <w:t>1.   making rollovers between funds; and </w:t>
            </w:r>
          </w:p>
          <w:p w14:paraId="48DDCF09" w14:textId="77777777" w:rsidR="00323F25" w:rsidRPr="005C3091" w:rsidRDefault="00323F25" w:rsidP="005C3091">
            <w:pPr>
              <w:keepNext/>
              <w:keepLines/>
              <w:spacing w:line="240" w:lineRule="atLeast"/>
            </w:pPr>
            <w:r w:rsidRPr="005C3091">
              <w:t>2.   breaching the fund's or the member's investment strategy </w:t>
            </w:r>
          </w:p>
          <w:p w14:paraId="5FC6E0D0" w14:textId="005C6750" w:rsidR="00323F25" w:rsidRPr="005C3091" w:rsidRDefault="00323F25" w:rsidP="005C3091">
            <w:pPr>
              <w:keepNext/>
              <w:keepLines/>
              <w:spacing w:line="240" w:lineRule="atLeast"/>
            </w:pPr>
            <w:r w:rsidRPr="005C3091">
              <w:t>The trustee(s) have reviewed the rollovers and received advice that the rollovers are in accordance with the trust deed and the rules of the fund and the superannuation laws. As such the trustee(s) have resolved to accept the following rollovers on behalf of the members:</w:t>
            </w:r>
          </w:p>
        </w:tc>
      </w:tr>
      <w:tr w:rsidR="00323F25" w:rsidRPr="005C3091" w14:paraId="1AE58579" w14:textId="77777777" w:rsidTr="005C3091">
        <w:tc>
          <w:tcPr>
            <w:tcW w:w="1696" w:type="dxa"/>
          </w:tcPr>
          <w:p w14:paraId="53A64786" w14:textId="750E031B" w:rsidR="00323F25" w:rsidRPr="005C3091" w:rsidRDefault="00323F25" w:rsidP="005C3091">
            <w:pPr>
              <w:rPr>
                <w:b/>
                <w:bCs/>
              </w:rPr>
            </w:pPr>
            <w:r w:rsidRPr="005C3091">
              <w:rPr>
                <w:b/>
                <w:bCs/>
              </w:rPr>
              <w:t>Purchase of Assets</w:t>
            </w:r>
          </w:p>
        </w:tc>
        <w:tc>
          <w:tcPr>
            <w:tcW w:w="3686" w:type="dxa"/>
          </w:tcPr>
          <w:p w14:paraId="2D12D372" w14:textId="76912C93" w:rsidR="00323F25" w:rsidRPr="005C3091" w:rsidRDefault="00323F25" w:rsidP="005C3091">
            <w:r w:rsidRPr="005C3091">
              <w:t>It was resolved that having regard to the composition, risk and return of the fund’s existing investments, the fund’s investment objectives and its present liquidity, the purchase of the assets identified below during the year ended 30 June [</w:t>
            </w:r>
            <w:proofErr w:type="spellStart"/>
            <w:r w:rsidRPr="005C3091">
              <w:t>FinancialYear</w:t>
            </w:r>
            <w:proofErr w:type="spellEnd"/>
            <w:r w:rsidRPr="005C3091">
              <w:t>] hereto be confirmed and are in line with the investment strategy of the fund.</w:t>
            </w:r>
          </w:p>
        </w:tc>
        <w:tc>
          <w:tcPr>
            <w:tcW w:w="3634" w:type="dxa"/>
          </w:tcPr>
          <w:p w14:paraId="4646883E" w14:textId="4076A47A" w:rsidR="00323F25" w:rsidRPr="005C3091" w:rsidRDefault="00323F25" w:rsidP="00477F84">
            <w:r w:rsidRPr="005C3091">
              <w:t>It was resolved that the asset acquisitions during the financial year ended 30 June [</w:t>
            </w:r>
            <w:proofErr w:type="spellStart"/>
            <w:r w:rsidRPr="005C3091">
              <w:t>FinancialYear</w:t>
            </w:r>
            <w:proofErr w:type="spellEnd"/>
            <w:r w:rsidRPr="005C3091">
              <w:t>] are confirmed and align with the investment strategy of the fund, after considering the composition, risk, and return of its existing investments, as well as its investment objectives and current liquidity.</w:t>
            </w:r>
          </w:p>
        </w:tc>
      </w:tr>
      <w:tr w:rsidR="00323F25" w:rsidRPr="005C3091" w14:paraId="059421F2" w14:textId="77777777" w:rsidTr="005C3091">
        <w:tc>
          <w:tcPr>
            <w:tcW w:w="1696" w:type="dxa"/>
          </w:tcPr>
          <w:p w14:paraId="018ACB8D" w14:textId="2392411D" w:rsidR="00323F25" w:rsidRPr="005C3091" w:rsidRDefault="00323F25" w:rsidP="005C3091">
            <w:pPr>
              <w:rPr>
                <w:b/>
                <w:bCs/>
              </w:rPr>
            </w:pPr>
            <w:r w:rsidRPr="005C3091">
              <w:rPr>
                <w:b/>
                <w:bCs/>
              </w:rPr>
              <w:t>Disposal of Assets</w:t>
            </w:r>
          </w:p>
        </w:tc>
        <w:tc>
          <w:tcPr>
            <w:tcW w:w="3686" w:type="dxa"/>
          </w:tcPr>
          <w:p w14:paraId="44AF919A" w14:textId="61316EBB" w:rsidR="00323F25" w:rsidRPr="005C3091" w:rsidRDefault="00323F25" w:rsidP="005C3091">
            <w:r w:rsidRPr="005C3091">
              <w:t>It was resolved that having regard to the composition, risk and return of the fund’s existing investments, the fund’s investment objectives and its present liquidity, the disposal of the assets identified below during the year ended 30 June [</w:t>
            </w:r>
            <w:proofErr w:type="spellStart"/>
            <w:r w:rsidRPr="005C3091">
              <w:t>FinancialYear</w:t>
            </w:r>
            <w:proofErr w:type="spellEnd"/>
            <w:r w:rsidRPr="005C3091">
              <w:t>] hereto be confirmed and are in line with the investment strategy of the fund.</w:t>
            </w:r>
          </w:p>
        </w:tc>
        <w:tc>
          <w:tcPr>
            <w:tcW w:w="3634" w:type="dxa"/>
          </w:tcPr>
          <w:p w14:paraId="1E718F53" w14:textId="6D395B09" w:rsidR="00323F25" w:rsidRPr="005C3091" w:rsidRDefault="00323F25" w:rsidP="005C3091">
            <w:r w:rsidRPr="005C3091">
              <w:t>It was resolved that the asset disposals during the financial year ended 30 June [</w:t>
            </w:r>
            <w:proofErr w:type="spellStart"/>
            <w:r w:rsidRPr="005C3091">
              <w:t>FinancialYear</w:t>
            </w:r>
            <w:proofErr w:type="spellEnd"/>
            <w:r w:rsidRPr="005C3091">
              <w:t>] are confirmed and align with the investment strategy of the fund, after considering the composition, risk, and return of its existing investments, as well as its investment objectives and current liquidity.</w:t>
            </w:r>
          </w:p>
        </w:tc>
      </w:tr>
      <w:tr w:rsidR="00323F25" w:rsidRPr="005C3091" w14:paraId="61D0B700" w14:textId="77777777" w:rsidTr="005C3091">
        <w:tc>
          <w:tcPr>
            <w:tcW w:w="1696" w:type="dxa"/>
          </w:tcPr>
          <w:p w14:paraId="68D497DB" w14:textId="0C95403B" w:rsidR="00323F25" w:rsidRPr="005C3091" w:rsidRDefault="00323F25" w:rsidP="005C3091">
            <w:pPr>
              <w:rPr>
                <w:b/>
                <w:bCs/>
              </w:rPr>
            </w:pPr>
            <w:r w:rsidRPr="005C3091">
              <w:rPr>
                <w:b/>
                <w:bCs/>
              </w:rPr>
              <w:t>Property Valuations</w:t>
            </w:r>
          </w:p>
        </w:tc>
        <w:tc>
          <w:tcPr>
            <w:tcW w:w="3686" w:type="dxa"/>
          </w:tcPr>
          <w:p w14:paraId="782A2494" w14:textId="77777777" w:rsidR="00323F25" w:rsidRPr="005C3091" w:rsidRDefault="00323F25" w:rsidP="005C3091">
            <w:r w:rsidRPr="005C3091">
              <w:t>In respect of the year ending 30 June [</w:t>
            </w:r>
            <w:proofErr w:type="spellStart"/>
            <w:r w:rsidRPr="005C3091">
              <w:t>FinancialYear</w:t>
            </w:r>
            <w:proofErr w:type="spellEnd"/>
            <w:r w:rsidRPr="005C3091">
              <w:t>], it was resolved that the trustees revalue the properties set out below in respect of the effective dates specified.</w:t>
            </w:r>
          </w:p>
          <w:p w14:paraId="03CA3310" w14:textId="77777777" w:rsidR="00323F25" w:rsidRPr="005C3091" w:rsidRDefault="00323F25" w:rsidP="005C3091">
            <w:proofErr w:type="gramStart"/>
            <w:r w:rsidRPr="005C3091">
              <w:t>Giving consideration to</w:t>
            </w:r>
            <w:proofErr w:type="gramEnd"/>
            <w:r w:rsidRPr="005C3091">
              <w:t xml:space="preserve"> the fund's circumstances and the value of the fund's assets that property represents, the trustees have obtained property valuations from the sources listed below.</w:t>
            </w:r>
          </w:p>
          <w:p w14:paraId="7F15927F" w14:textId="77777777" w:rsidR="00323F25" w:rsidRPr="005C3091" w:rsidRDefault="00323F25" w:rsidP="005C3091">
            <w:r w:rsidRPr="005C3091">
              <w:t>The trustees have reviewed the content and assumptions within and believe the valuations supplied fairly represent the value and attributes of the properties held.</w:t>
            </w:r>
          </w:p>
          <w:p w14:paraId="79A22059" w14:textId="77777777" w:rsidR="00323F25" w:rsidRPr="005C3091" w:rsidRDefault="00323F25" w:rsidP="005C3091">
            <w:r w:rsidRPr="005C3091">
              <w:t>The trustees resolved to accept the valuations obtained on the basis that the valuations are based on objective and supportable data; are representative of the assets owned by the fund; and are indicative of market conditions as at the effective dates.</w:t>
            </w:r>
          </w:p>
          <w:p w14:paraId="3ED29AEE" w14:textId="5BBFED3E" w:rsidR="00323F25" w:rsidRPr="005C3091" w:rsidRDefault="00323F25" w:rsidP="005C3091">
            <w:r w:rsidRPr="005C3091">
              <w:t>After consideration from the trustees, it was also resolved to carry forward valuations from prior years where appropriate. The trustees are of the opinion that the valuations continue to be relevant and appropriate and have been obtained within a suitable time frame to still be applied.</w:t>
            </w:r>
          </w:p>
        </w:tc>
        <w:tc>
          <w:tcPr>
            <w:tcW w:w="3634" w:type="dxa"/>
          </w:tcPr>
          <w:p w14:paraId="4BAED8DE" w14:textId="77777777" w:rsidR="00323F25" w:rsidRPr="005C3091" w:rsidRDefault="00323F25" w:rsidP="005C3091">
            <w:pPr>
              <w:keepNext/>
              <w:keepLines/>
              <w:spacing w:line="240" w:lineRule="atLeast"/>
            </w:pPr>
            <w:r w:rsidRPr="005C3091">
              <w:t>In respect of the year ending 30 June [</w:t>
            </w:r>
            <w:proofErr w:type="spellStart"/>
            <w:r w:rsidRPr="005C3091">
              <w:t>FinancialYear</w:t>
            </w:r>
            <w:proofErr w:type="spellEnd"/>
            <w:r w:rsidRPr="005C3091">
              <w:t>], it was resolved that the trustees revalue the properties set out below as of the specified effective dates.</w:t>
            </w:r>
          </w:p>
          <w:p w14:paraId="0DC2A52D" w14:textId="77777777" w:rsidR="00323F25" w:rsidRPr="005C3091" w:rsidRDefault="00323F25" w:rsidP="005C3091">
            <w:pPr>
              <w:keepNext/>
              <w:keepLines/>
              <w:spacing w:line="240" w:lineRule="atLeast"/>
            </w:pPr>
            <w:r w:rsidRPr="005C3091">
              <w:t>Considering the fund's circumstances and the proportion of the fund's assets represented by property, the trustee(s) have obtained property valuations from the sources listed below.</w:t>
            </w:r>
          </w:p>
          <w:p w14:paraId="7F4771BB" w14:textId="77777777" w:rsidR="00323F25" w:rsidRPr="005C3091" w:rsidRDefault="00323F25" w:rsidP="005C3091">
            <w:pPr>
              <w:keepNext/>
              <w:keepLines/>
              <w:spacing w:line="240" w:lineRule="atLeast"/>
            </w:pPr>
            <w:r w:rsidRPr="005C3091">
              <w:t xml:space="preserve">The trustee(s) have reviewed the content and assumptions of </w:t>
            </w:r>
            <w:proofErr w:type="gramStart"/>
            <w:r w:rsidRPr="005C3091">
              <w:t>these valuation</w:t>
            </w:r>
            <w:proofErr w:type="gramEnd"/>
            <w:r w:rsidRPr="005C3091">
              <w:t xml:space="preserve"> and believe they fairly represent the value and attributes of the properties held.</w:t>
            </w:r>
          </w:p>
          <w:p w14:paraId="72E31096" w14:textId="77777777" w:rsidR="00323F25" w:rsidRPr="005C3091" w:rsidRDefault="00323F25" w:rsidP="005C3091">
            <w:pPr>
              <w:keepNext/>
              <w:keepLines/>
              <w:spacing w:line="240" w:lineRule="atLeast"/>
            </w:pPr>
            <w:r w:rsidRPr="005C3091">
              <w:t>The trustees resolved to accept the valuations on the basis that they are derived from objective, supportable data; accurately represent the assets owned by the fund; and reflect market conditions as at the effective dates.</w:t>
            </w:r>
          </w:p>
          <w:p w14:paraId="308E654B" w14:textId="0C003BDD" w:rsidR="00323F25" w:rsidRPr="005C3091" w:rsidRDefault="00323F25" w:rsidP="00477F84">
            <w:r w:rsidRPr="005C3091">
              <w:t>After consideration from the trustees, it was also resolved to carry forward valuations from prior years where appropriate. The trustees are of the opinion that the valuations continue to be relevant and appropriate and have been obtained within a suitable time frame to still be applied.</w:t>
            </w:r>
          </w:p>
        </w:tc>
      </w:tr>
      <w:tr w:rsidR="00323F25" w:rsidRPr="005C3091" w14:paraId="04D95EBF" w14:textId="77777777" w:rsidTr="005C3091">
        <w:tc>
          <w:tcPr>
            <w:tcW w:w="1696" w:type="dxa"/>
          </w:tcPr>
          <w:p w14:paraId="32C8B287" w14:textId="638F9626" w:rsidR="00323F25" w:rsidRPr="005C3091" w:rsidRDefault="00323F25" w:rsidP="005C3091">
            <w:pPr>
              <w:rPr>
                <w:b/>
                <w:bCs/>
              </w:rPr>
            </w:pPr>
            <w:r w:rsidRPr="005C3091">
              <w:rPr>
                <w:b/>
                <w:bCs/>
              </w:rPr>
              <w:t>Allocation of Net Income</w:t>
            </w:r>
          </w:p>
        </w:tc>
        <w:tc>
          <w:tcPr>
            <w:tcW w:w="3686" w:type="dxa"/>
          </w:tcPr>
          <w:p w14:paraId="5875C2B4" w14:textId="4CC4B305" w:rsidR="00323F25" w:rsidRPr="005C3091" w:rsidRDefault="00323F25" w:rsidP="005C3091">
            <w:r w:rsidRPr="005C3091">
              <w:t>It was resolved that the income of the fund be proportionally allocated to members based on the members’ daily weighted average balances. The following amounts of income, and related amounts of tax, are to be credited to / debited from member accounts:</w:t>
            </w:r>
          </w:p>
        </w:tc>
        <w:tc>
          <w:tcPr>
            <w:tcW w:w="3634" w:type="dxa"/>
          </w:tcPr>
          <w:p w14:paraId="38BB4F2E" w14:textId="02411DBB" w:rsidR="00323F25" w:rsidRPr="005C3091" w:rsidRDefault="00323F25" w:rsidP="005C3091">
            <w:pPr>
              <w:keepNext/>
              <w:keepLines/>
              <w:spacing w:line="240" w:lineRule="atLeast"/>
            </w:pPr>
            <w:r w:rsidRPr="007B7BF0">
              <w:t>It was resolved that the income of the fund be proportionally allocated to members based on their daily weighted average balances. The following amounts of income, and related amounts of tax, are to be credited to / debited from member accounts:</w:t>
            </w:r>
          </w:p>
        </w:tc>
      </w:tr>
      <w:tr w:rsidR="00323F25" w:rsidRPr="005C3091" w14:paraId="6D402995" w14:textId="77777777" w:rsidTr="005C3091">
        <w:tc>
          <w:tcPr>
            <w:tcW w:w="1696" w:type="dxa"/>
          </w:tcPr>
          <w:p w14:paraId="188953C4" w14:textId="7C938296" w:rsidR="00323F25" w:rsidRPr="005C3091" w:rsidRDefault="00323F25" w:rsidP="005C3091">
            <w:pPr>
              <w:rPr>
                <w:b/>
                <w:bCs/>
              </w:rPr>
            </w:pPr>
            <w:r w:rsidRPr="005C3091">
              <w:rPr>
                <w:b/>
                <w:bCs/>
              </w:rPr>
              <w:t>Reporting Entity Concept</w:t>
            </w:r>
          </w:p>
        </w:tc>
        <w:tc>
          <w:tcPr>
            <w:tcW w:w="3686" w:type="dxa"/>
          </w:tcPr>
          <w:p w14:paraId="6EEF2E0C" w14:textId="77777777" w:rsidR="00323F25" w:rsidRPr="005C3091" w:rsidRDefault="00323F25" w:rsidP="005C3091">
            <w:r w:rsidRPr="005C3091">
              <w:t xml:space="preserve">It was resolved that, in the opinion of the trustee, the fund is not a reporting entity because it is unlikely that users exist who are unable to command the preparation of reports tailored </w:t>
            </w:r>
            <w:proofErr w:type="gramStart"/>
            <w:r w:rsidRPr="005C3091">
              <w:t>so as to</w:t>
            </w:r>
            <w:proofErr w:type="gramEnd"/>
            <w:r w:rsidRPr="005C3091">
              <w:t xml:space="preserve"> satisfy specifically all their information needs.</w:t>
            </w:r>
          </w:p>
          <w:p w14:paraId="675F38ED" w14:textId="68C67C57" w:rsidR="00323F25" w:rsidRPr="005C3091" w:rsidRDefault="00323F25" w:rsidP="005C3091">
            <w:r w:rsidRPr="005C3091">
              <w:t xml:space="preserve">Therefore, the financial statements for the fund are to be prepared </w:t>
            </w:r>
            <w:proofErr w:type="gramStart"/>
            <w:r w:rsidRPr="005C3091">
              <w:t>on the basis of</w:t>
            </w:r>
            <w:proofErr w:type="gramEnd"/>
            <w:r w:rsidRPr="005C3091">
              <w:t xml:space="preserve"> the fund being a “non-reporting entity</w:t>
            </w:r>
            <w:proofErr w:type="gramStart"/>
            <w:r w:rsidRPr="005C3091">
              <w:t>”, and</w:t>
            </w:r>
            <w:proofErr w:type="gramEnd"/>
            <w:r w:rsidRPr="005C3091">
              <w:t xml:space="preserve"> will therefore take the form of Special Purpose Financial Reports.</w:t>
            </w:r>
          </w:p>
        </w:tc>
        <w:tc>
          <w:tcPr>
            <w:tcW w:w="3634" w:type="dxa"/>
          </w:tcPr>
          <w:p w14:paraId="4B17DB2D" w14:textId="20B10B03" w:rsidR="00323F25" w:rsidRPr="005C3091" w:rsidRDefault="00323F25" w:rsidP="005C3091">
            <w:pPr>
              <w:keepNext/>
              <w:keepLines/>
              <w:spacing w:line="240" w:lineRule="atLeast"/>
            </w:pPr>
            <w:r w:rsidRPr="005C3091">
              <w:t>It was resolved that the financial statements would be prepared as special purpose financial statements as, in the opinion of the trustee(s), the superannuation fund is a non-reporting entity and therefore is not required to comply with all Australian Accounting Standards.</w:t>
            </w:r>
          </w:p>
        </w:tc>
      </w:tr>
      <w:tr w:rsidR="00323F25" w:rsidRPr="005C3091" w14:paraId="776FB5AF" w14:textId="77777777" w:rsidTr="005C3091">
        <w:tc>
          <w:tcPr>
            <w:tcW w:w="1696" w:type="dxa"/>
          </w:tcPr>
          <w:p w14:paraId="3E5F6B48" w14:textId="7CC702A1" w:rsidR="00323F25" w:rsidRPr="005C3091" w:rsidRDefault="00323F25" w:rsidP="005C3091">
            <w:pPr>
              <w:rPr>
                <w:b/>
                <w:bCs/>
              </w:rPr>
            </w:pPr>
            <w:r w:rsidRPr="005C3091">
              <w:rPr>
                <w:b/>
                <w:bCs/>
              </w:rPr>
              <w:t>Reports and Statements</w:t>
            </w:r>
          </w:p>
        </w:tc>
        <w:tc>
          <w:tcPr>
            <w:tcW w:w="3686" w:type="dxa"/>
          </w:tcPr>
          <w:p w14:paraId="5E607B90" w14:textId="77777777" w:rsidR="00323F25" w:rsidRPr="005C3091" w:rsidRDefault="00323F25" w:rsidP="005C3091">
            <w:r w:rsidRPr="005C3091">
              <w:t>The Financial Reports consisting of Statement of Financial Position, Operating Statement and Notes to the Financial Statements, Trustee’s Declaration, Compilation Report, Auditor’s Report and Member Statement for the period ended 30 June [</w:t>
            </w:r>
            <w:proofErr w:type="spellStart"/>
            <w:r w:rsidRPr="005C3091">
              <w:t>FinancialYear</w:t>
            </w:r>
            <w:proofErr w:type="spellEnd"/>
            <w:r w:rsidRPr="005C3091">
              <w:t>] were tabled for consideration at the meeting.</w:t>
            </w:r>
          </w:p>
          <w:p w14:paraId="3671228C" w14:textId="77777777" w:rsidR="00323F25" w:rsidRPr="005C3091" w:rsidRDefault="00323F25" w:rsidP="005C3091">
            <w:r w:rsidRPr="005C3091">
              <w:t>It was resolved that the financial statements be adopted in their present format and that the statement by the trustees attached to the financial reports be signed by the Trustees, stating that:</w:t>
            </w:r>
          </w:p>
          <w:p w14:paraId="2D472988" w14:textId="77777777" w:rsidR="00323F25" w:rsidRPr="005C3091" w:rsidRDefault="00323F25" w:rsidP="005C3091">
            <w:r w:rsidRPr="005C3091">
              <w:t xml:space="preserve">1.   the financial statements are drawn up </w:t>
            </w:r>
            <w:proofErr w:type="gramStart"/>
            <w:r w:rsidRPr="005C3091">
              <w:t>so as to</w:t>
            </w:r>
            <w:proofErr w:type="gramEnd"/>
            <w:r w:rsidRPr="005C3091">
              <w:t xml:space="preserve"> present fairly the financial position of the fund as </w:t>
            </w:r>
            <w:proofErr w:type="gramStart"/>
            <w:r w:rsidRPr="005C3091">
              <w:t>at</w:t>
            </w:r>
            <w:proofErr w:type="gramEnd"/>
            <w:r w:rsidRPr="005C3091">
              <w:t xml:space="preserve"> 30 June [</w:t>
            </w:r>
            <w:proofErr w:type="spellStart"/>
            <w:r w:rsidRPr="005C3091">
              <w:t>FinancialYear</w:t>
            </w:r>
            <w:proofErr w:type="spellEnd"/>
            <w:r w:rsidRPr="005C3091">
              <w:t xml:space="preserve">], the benefits accrued </w:t>
            </w:r>
            <w:proofErr w:type="gramStart"/>
            <w:r w:rsidRPr="005C3091">
              <w:t>as a result of</w:t>
            </w:r>
            <w:proofErr w:type="gramEnd"/>
            <w:r w:rsidRPr="005C3091">
              <w:t xml:space="preserve"> operations and its cash flow for the year then </w:t>
            </w:r>
            <w:proofErr w:type="gramStart"/>
            <w:r w:rsidRPr="005C3091">
              <w:t>ended;</w:t>
            </w:r>
            <w:proofErr w:type="gramEnd"/>
          </w:p>
          <w:p w14:paraId="1E1103A0" w14:textId="77777777" w:rsidR="00323F25" w:rsidRPr="005C3091" w:rsidRDefault="00323F25" w:rsidP="005C3091">
            <w:r w:rsidRPr="005C3091">
              <w:t>2.   the financial statements have been prepared in accordance with the      requirements of the trust deed and Australian Accounting Standards as noted in Note 1 to the Financial Statements and</w:t>
            </w:r>
          </w:p>
          <w:p w14:paraId="6DA38E3B" w14:textId="0DC4D3F7" w:rsidR="00323F25" w:rsidRPr="005C3091" w:rsidRDefault="00323F25" w:rsidP="005C3091">
            <w:r w:rsidRPr="005C3091">
              <w:t>3.   the fund has operated substantially in accordance with the trust deed and the requirements of the Superannuation Industry (Supervision) Act 1993 (SISA), during the year ended 30 June [</w:t>
            </w:r>
            <w:proofErr w:type="spellStart"/>
            <w:r w:rsidRPr="005C3091">
              <w:t>FinancialYear</w:t>
            </w:r>
            <w:proofErr w:type="spellEnd"/>
            <w:r w:rsidRPr="005C3091">
              <w:t>].</w:t>
            </w:r>
          </w:p>
        </w:tc>
        <w:tc>
          <w:tcPr>
            <w:tcW w:w="3634" w:type="dxa"/>
          </w:tcPr>
          <w:p w14:paraId="36946EE9" w14:textId="4FA911EB" w:rsidR="00323F25" w:rsidRPr="005C3091" w:rsidRDefault="00B90A0B" w:rsidP="005C3091">
            <w:r w:rsidRPr="00B90A0B">
              <w:t>It was resolved that the financial statements and accompanying notes of the Superannuation Fund for the year ended 30 June [</w:t>
            </w:r>
            <w:proofErr w:type="spellStart"/>
            <w:r w:rsidRPr="00B90A0B">
              <w:t>FinancialYear</w:t>
            </w:r>
            <w:proofErr w:type="spellEnd"/>
            <w:r w:rsidRPr="00B90A0B">
              <w:t>] be tabled and adopted as presented.</w:t>
            </w:r>
          </w:p>
        </w:tc>
      </w:tr>
      <w:tr w:rsidR="00323F25" w:rsidRPr="005C3091" w14:paraId="236B0DA4" w14:textId="77777777" w:rsidTr="005C3091">
        <w:tc>
          <w:tcPr>
            <w:tcW w:w="1696" w:type="dxa"/>
          </w:tcPr>
          <w:p w14:paraId="289A1DDF" w14:textId="281F3D12" w:rsidR="00323F25" w:rsidRPr="005C3091" w:rsidRDefault="00323F25" w:rsidP="005C3091">
            <w:pPr>
              <w:rPr>
                <w:b/>
                <w:bCs/>
              </w:rPr>
            </w:pPr>
            <w:r w:rsidRPr="005C3091">
              <w:rPr>
                <w:b/>
                <w:bCs/>
              </w:rPr>
              <w:t>Income Tax Return</w:t>
            </w:r>
          </w:p>
        </w:tc>
        <w:tc>
          <w:tcPr>
            <w:tcW w:w="3686" w:type="dxa"/>
          </w:tcPr>
          <w:p w14:paraId="4F673AF3" w14:textId="77777777" w:rsidR="00323F25" w:rsidRPr="005C3091" w:rsidRDefault="00323F25" w:rsidP="005C3091">
            <w:r w:rsidRPr="005C3091">
              <w:t>The completed Self-Managed Superannuation Fund Annual Return for the financial year ended 30 June [</w:t>
            </w:r>
            <w:proofErr w:type="spellStart"/>
            <w:r w:rsidRPr="005C3091">
              <w:t>FinancialYear</w:t>
            </w:r>
            <w:proofErr w:type="spellEnd"/>
            <w:r w:rsidRPr="005C3091">
              <w:t>] was tabled for consideration at the meeting.</w:t>
            </w:r>
          </w:p>
          <w:p w14:paraId="464D4D46" w14:textId="77777777" w:rsidR="00323F25" w:rsidRPr="005C3091" w:rsidRDefault="00323F25" w:rsidP="005C3091">
            <w:r w:rsidRPr="005C3091">
              <w:t>It was resolved that:</w:t>
            </w:r>
          </w:p>
          <w:p w14:paraId="1E9A5DD5" w14:textId="77777777" w:rsidR="00323F25" w:rsidRPr="005C3091" w:rsidRDefault="00323F25" w:rsidP="005C3091">
            <w:r w:rsidRPr="005C3091">
              <w:t>1.   the particulars contained in the [</w:t>
            </w:r>
            <w:proofErr w:type="spellStart"/>
            <w:r w:rsidRPr="005C3091">
              <w:t>FinancialYear</w:t>
            </w:r>
            <w:proofErr w:type="spellEnd"/>
            <w:r w:rsidRPr="005C3091">
              <w:t xml:space="preserve">] income tax return and the relevant records used to ascertain the taxable income, as shown, derived by the fund from all sources in and out of Australia during the year of income are true and correct </w:t>
            </w:r>
            <w:proofErr w:type="gramStart"/>
            <w:r w:rsidRPr="005C3091">
              <w:t>and;</w:t>
            </w:r>
            <w:proofErr w:type="gramEnd"/>
          </w:p>
          <w:p w14:paraId="230E8155" w14:textId="77777777" w:rsidR="00323F25" w:rsidRPr="005C3091" w:rsidRDefault="00323F25" w:rsidP="005C3091">
            <w:r w:rsidRPr="005C3091">
              <w:t xml:space="preserve">2.   the fund satisfies the statutory requirements and conditions applicable to be classified as a ‘Regulated Superannuation Fund/Complying Superannuation Fund’ for the year of income </w:t>
            </w:r>
            <w:proofErr w:type="gramStart"/>
            <w:r w:rsidRPr="005C3091">
              <w:t>and;</w:t>
            </w:r>
            <w:proofErr w:type="gramEnd"/>
          </w:p>
          <w:p w14:paraId="3B78BCFE" w14:textId="7E846242" w:rsidR="00323F25" w:rsidRPr="005C3091" w:rsidRDefault="00323F25" w:rsidP="005C3091">
            <w:r w:rsidRPr="005C3091">
              <w:t>3.   the income tax return be adopted in its present format and that the Return be signed by the Trustees.</w:t>
            </w:r>
          </w:p>
        </w:tc>
        <w:tc>
          <w:tcPr>
            <w:tcW w:w="3634" w:type="dxa"/>
          </w:tcPr>
          <w:p w14:paraId="21F732F8" w14:textId="0573DFE6" w:rsidR="00323F25" w:rsidRPr="005C3091" w:rsidRDefault="00323F25" w:rsidP="005C3091">
            <w:r w:rsidRPr="005C3091">
              <w:t>Being satisfied that the Fund had complied with the requirements of the Superannuation Industry (Supervision) Act 1993 (SISA) and Regulations during the year ended 30 June [</w:t>
            </w:r>
            <w:proofErr w:type="spellStart"/>
            <w:r w:rsidRPr="005C3091">
              <w:t>FinancialYear</w:t>
            </w:r>
            <w:proofErr w:type="spellEnd"/>
            <w:r w:rsidRPr="005C3091">
              <w:t>], it was resolved that the annual return be approved, signed and lodged with the Australian Taxation Office.</w:t>
            </w:r>
          </w:p>
        </w:tc>
      </w:tr>
    </w:tbl>
    <w:p w14:paraId="5E98D21D" w14:textId="77777777" w:rsidR="00E65333" w:rsidRDefault="00E65333">
      <w:r>
        <w:br w:type="page"/>
      </w:r>
    </w:p>
    <w:tbl>
      <w:tblPr>
        <w:tblStyle w:val="TableGrid"/>
        <w:tblW w:w="0" w:type="auto"/>
        <w:tblLook w:val="04A0" w:firstRow="1" w:lastRow="0" w:firstColumn="1" w:lastColumn="0" w:noHBand="0" w:noVBand="1"/>
      </w:tblPr>
      <w:tblGrid>
        <w:gridCol w:w="1696"/>
        <w:gridCol w:w="3686"/>
        <w:gridCol w:w="3634"/>
      </w:tblGrid>
      <w:tr w:rsidR="005C3091" w:rsidRPr="005C3091" w14:paraId="116D20B1" w14:textId="77777777" w:rsidTr="005C3091">
        <w:tc>
          <w:tcPr>
            <w:tcW w:w="1696" w:type="dxa"/>
          </w:tcPr>
          <w:p w14:paraId="55AAA762" w14:textId="2ED28DDB" w:rsidR="005C3091" w:rsidRPr="005C3091" w:rsidRDefault="005C3091" w:rsidP="005C3091">
            <w:pPr>
              <w:rPr>
                <w:b/>
                <w:bCs/>
              </w:rPr>
            </w:pPr>
            <w:r w:rsidRPr="005C3091">
              <w:rPr>
                <w:b/>
                <w:bCs/>
              </w:rPr>
              <w:t>Review of Investment Strategy</w:t>
            </w:r>
          </w:p>
        </w:tc>
        <w:tc>
          <w:tcPr>
            <w:tcW w:w="3686" w:type="dxa"/>
          </w:tcPr>
          <w:p w14:paraId="032BEA18" w14:textId="77777777" w:rsidR="005C3091" w:rsidRPr="005C3091" w:rsidRDefault="005C3091" w:rsidP="005C3091">
            <w:r w:rsidRPr="005C3091">
              <w:t>The fund’s investment performance for the year ended 30 June [</w:t>
            </w:r>
            <w:proofErr w:type="spellStart"/>
            <w:r w:rsidRPr="005C3091">
              <w:t>FinancialYear</w:t>
            </w:r>
            <w:proofErr w:type="spellEnd"/>
            <w:r w:rsidRPr="005C3091">
              <w:t>] and existing investment strategy have been reviewed by the Trustees, after considering:</w:t>
            </w:r>
          </w:p>
          <w:p w14:paraId="46C05DA1" w14:textId="77777777" w:rsidR="005C3091" w:rsidRPr="005C3091" w:rsidRDefault="005C3091" w:rsidP="005C3091">
            <w:r w:rsidRPr="005C3091">
              <w:t xml:space="preserve">1.   the risk involved in making, holding and realising, and the likely return from, the fund’s investments having regard to its objectives and its expressed cash flow </w:t>
            </w:r>
            <w:proofErr w:type="gramStart"/>
            <w:r w:rsidRPr="005C3091">
              <w:t>requirements;</w:t>
            </w:r>
            <w:proofErr w:type="gramEnd"/>
          </w:p>
          <w:p w14:paraId="5CD4CB32" w14:textId="77777777" w:rsidR="005C3091" w:rsidRPr="005C3091" w:rsidRDefault="005C3091" w:rsidP="005C3091">
            <w:r w:rsidRPr="005C3091">
              <w:t xml:space="preserve">2.   the composition of the fund’s investments </w:t>
            </w:r>
            <w:proofErr w:type="gramStart"/>
            <w:r w:rsidRPr="005C3091">
              <w:t>as a whole including</w:t>
            </w:r>
            <w:proofErr w:type="gramEnd"/>
            <w:r w:rsidRPr="005C3091">
              <w:t xml:space="preserve"> the extent to which the investments are diverse or involve the funds being exposed to risks from inadequate </w:t>
            </w:r>
            <w:proofErr w:type="gramStart"/>
            <w:r w:rsidRPr="005C3091">
              <w:t>diversification;</w:t>
            </w:r>
            <w:proofErr w:type="gramEnd"/>
          </w:p>
          <w:p w14:paraId="6A84289C" w14:textId="77777777" w:rsidR="005C3091" w:rsidRPr="005C3091" w:rsidRDefault="005C3091" w:rsidP="005C3091">
            <w:r w:rsidRPr="005C3091">
              <w:t xml:space="preserve">3.   the liquidity of the fund’s investments having regard to its expected cash flow </w:t>
            </w:r>
            <w:proofErr w:type="gramStart"/>
            <w:r w:rsidRPr="005C3091">
              <w:t>requirements;</w:t>
            </w:r>
            <w:proofErr w:type="gramEnd"/>
          </w:p>
          <w:p w14:paraId="6B16D4A4" w14:textId="77777777" w:rsidR="005C3091" w:rsidRPr="005C3091" w:rsidRDefault="005C3091" w:rsidP="005C3091">
            <w:r w:rsidRPr="005C3091">
              <w:t xml:space="preserve">4.   the ability of the fund to discharge its existing and prospective </w:t>
            </w:r>
            <w:proofErr w:type="gramStart"/>
            <w:r w:rsidRPr="005C3091">
              <w:t>liabilities;</w:t>
            </w:r>
            <w:proofErr w:type="gramEnd"/>
          </w:p>
          <w:p w14:paraId="65E88DF6" w14:textId="77777777" w:rsidR="005C3091" w:rsidRPr="005C3091" w:rsidRDefault="005C3091" w:rsidP="005C3091">
            <w:r w:rsidRPr="005C3091">
              <w:t>5.   whether the fund should hold a contract of insurance that provides insurance cover for members of the fund; and</w:t>
            </w:r>
          </w:p>
          <w:p w14:paraId="259B1646" w14:textId="77777777" w:rsidR="005C3091" w:rsidRPr="005C3091" w:rsidRDefault="005C3091" w:rsidP="005C3091">
            <w:r w:rsidRPr="005C3091">
              <w:t>6.   the effect of the fund’s investments on the above requirements and all matters relating to the prudential nature of the investment being continuously monitored, regularly reviewed and to make sure they adhere to fund’s investment objectives and relevant legislation.</w:t>
            </w:r>
          </w:p>
          <w:p w14:paraId="0EE44FCB" w14:textId="49B2313A" w:rsidR="005C3091" w:rsidRPr="005C3091" w:rsidRDefault="005C3091" w:rsidP="005C3091">
            <w:r w:rsidRPr="005C3091">
              <w:t>It was resolved that the aims and objectives of the investment strategy were being achieved and that the said investment strategy requires no further modification or adoption at this time.</w:t>
            </w:r>
          </w:p>
        </w:tc>
        <w:tc>
          <w:tcPr>
            <w:tcW w:w="3634" w:type="dxa"/>
          </w:tcPr>
          <w:p w14:paraId="40557669" w14:textId="77777777" w:rsidR="00E65333" w:rsidRDefault="00E65333" w:rsidP="00E65333">
            <w:pPr>
              <w:pStyle w:val="NormalWeb"/>
              <w:spacing w:before="0" w:beforeAutospacing="0" w:after="0" w:afterAutospacing="0"/>
              <w:rPr>
                <w:rFonts w:asciiTheme="minorHAnsi" w:hAnsiTheme="minorHAnsi"/>
                <w:color w:val="000000"/>
              </w:rPr>
            </w:pPr>
            <w:r w:rsidRPr="00E65333">
              <w:rPr>
                <w:rFonts w:asciiTheme="minorHAnsi" w:hAnsiTheme="minorHAnsi"/>
                <w:color w:val="000000"/>
              </w:rPr>
              <w:t>The allocation of the fund’s assets and the fund’s investment performance over the financial year were reviewed and found to be within the acceptable ranges outlined in the Investment Strategy. After considering the risk, rate of return, diversification and liquidity of the investments and the ability of the fund to discharge its existing liabilities, it was resolved that the investment strategy continues to reflect the purpose and circumstances of the fund and its member. Accordingly, no changes in the investment strategy were required.</w:t>
            </w:r>
          </w:p>
          <w:p w14:paraId="48C7285F" w14:textId="77777777" w:rsidR="00E65333" w:rsidRDefault="00E65333" w:rsidP="00E65333">
            <w:pPr>
              <w:pStyle w:val="NormalWeb"/>
              <w:spacing w:before="0" w:beforeAutospacing="0" w:after="0" w:afterAutospacing="0"/>
              <w:rPr>
                <w:rFonts w:asciiTheme="minorHAnsi" w:hAnsiTheme="minorHAnsi"/>
                <w:color w:val="000000"/>
              </w:rPr>
            </w:pPr>
          </w:p>
          <w:p w14:paraId="67D5D584" w14:textId="6C457990" w:rsidR="005C3091" w:rsidRPr="00E65333" w:rsidRDefault="00E65333" w:rsidP="00E65333">
            <w:pPr>
              <w:pStyle w:val="NormalWeb"/>
              <w:spacing w:before="0" w:beforeAutospacing="0" w:after="0" w:afterAutospacing="0"/>
              <w:rPr>
                <w:rFonts w:asciiTheme="minorHAnsi" w:hAnsiTheme="minorHAnsi"/>
              </w:rPr>
            </w:pPr>
            <w:r w:rsidRPr="00E65333">
              <w:rPr>
                <w:rFonts w:asciiTheme="minorHAnsi" w:hAnsiTheme="minorHAnsi"/>
                <w:color w:val="000000"/>
              </w:rPr>
              <w:t xml:space="preserve">The trustee(s) have given due consideration to each member’s personal circumstances in relation to their need for personal insurance cover including current life and total and permanent disability insurance. The trustee (s) confirmed that each member’s level of insurance cover as well as whether these policies are held inside the fund or in member’s personal name, had been discussed and reviewed. It was resolved that the current insurance arrangements are deemed to be appropriate and adequate as </w:t>
            </w:r>
            <w:proofErr w:type="gramStart"/>
            <w:r w:rsidRPr="00E65333">
              <w:rPr>
                <w:rFonts w:asciiTheme="minorHAnsi" w:hAnsiTheme="minorHAnsi"/>
                <w:color w:val="000000"/>
              </w:rPr>
              <w:t>at</w:t>
            </w:r>
            <w:proofErr w:type="gramEnd"/>
            <w:r w:rsidRPr="00E65333">
              <w:rPr>
                <w:rFonts w:asciiTheme="minorHAnsi" w:hAnsiTheme="minorHAnsi"/>
                <w:color w:val="000000"/>
              </w:rPr>
              <w:t xml:space="preserve"> 30 June [</w:t>
            </w:r>
            <w:proofErr w:type="spellStart"/>
            <w:r w:rsidRPr="00E65333">
              <w:rPr>
                <w:rFonts w:asciiTheme="minorHAnsi" w:hAnsiTheme="minorHAnsi"/>
                <w:color w:val="000000"/>
              </w:rPr>
              <w:t>FinancialYear</w:t>
            </w:r>
            <w:proofErr w:type="spellEnd"/>
            <w:r w:rsidRPr="00E65333">
              <w:rPr>
                <w:rFonts w:asciiTheme="minorHAnsi" w:hAnsiTheme="minorHAnsi"/>
                <w:color w:val="000000"/>
              </w:rPr>
              <w:t>].</w:t>
            </w:r>
          </w:p>
        </w:tc>
      </w:tr>
    </w:tbl>
    <w:p w14:paraId="47C79CAD" w14:textId="77777777" w:rsidR="00A05DC8" w:rsidRPr="005C3091" w:rsidRDefault="00A05DC8"/>
    <w:sectPr w:rsidR="00A05DC8" w:rsidRPr="005C3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C8"/>
    <w:rsid w:val="0018136D"/>
    <w:rsid w:val="001F1DE9"/>
    <w:rsid w:val="002E2B77"/>
    <w:rsid w:val="00314C53"/>
    <w:rsid w:val="00323F25"/>
    <w:rsid w:val="00330040"/>
    <w:rsid w:val="00350759"/>
    <w:rsid w:val="00374787"/>
    <w:rsid w:val="00477F84"/>
    <w:rsid w:val="005C2FE9"/>
    <w:rsid w:val="005C3091"/>
    <w:rsid w:val="0076507A"/>
    <w:rsid w:val="007B7BF0"/>
    <w:rsid w:val="00926286"/>
    <w:rsid w:val="00A05DC8"/>
    <w:rsid w:val="00B075A6"/>
    <w:rsid w:val="00B32508"/>
    <w:rsid w:val="00B90A0B"/>
    <w:rsid w:val="00BE22A4"/>
    <w:rsid w:val="00BF6581"/>
    <w:rsid w:val="00C8131B"/>
    <w:rsid w:val="00CD2145"/>
    <w:rsid w:val="00D559D7"/>
    <w:rsid w:val="00D56BFA"/>
    <w:rsid w:val="00D937E0"/>
    <w:rsid w:val="00DA2715"/>
    <w:rsid w:val="00E65333"/>
    <w:rsid w:val="00F964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F4C2"/>
  <w15:chartTrackingRefBased/>
  <w15:docId w15:val="{E48C8AE5-1178-4E04-B3D2-A5240856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DC8"/>
    <w:rPr>
      <w:rFonts w:eastAsiaTheme="majorEastAsia" w:cstheme="majorBidi"/>
      <w:color w:val="272727" w:themeColor="text1" w:themeTint="D8"/>
    </w:rPr>
  </w:style>
  <w:style w:type="paragraph" w:styleId="Title">
    <w:name w:val="Title"/>
    <w:basedOn w:val="Normal"/>
    <w:next w:val="Normal"/>
    <w:link w:val="TitleChar"/>
    <w:uiPriority w:val="10"/>
    <w:qFormat/>
    <w:rsid w:val="00A0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DC8"/>
    <w:pPr>
      <w:spacing w:before="160"/>
      <w:jc w:val="center"/>
    </w:pPr>
    <w:rPr>
      <w:i/>
      <w:iCs/>
      <w:color w:val="404040" w:themeColor="text1" w:themeTint="BF"/>
    </w:rPr>
  </w:style>
  <w:style w:type="character" w:customStyle="1" w:styleId="QuoteChar">
    <w:name w:val="Quote Char"/>
    <w:basedOn w:val="DefaultParagraphFont"/>
    <w:link w:val="Quote"/>
    <w:uiPriority w:val="29"/>
    <w:rsid w:val="00A05DC8"/>
    <w:rPr>
      <w:i/>
      <w:iCs/>
      <w:color w:val="404040" w:themeColor="text1" w:themeTint="BF"/>
    </w:rPr>
  </w:style>
  <w:style w:type="paragraph" w:styleId="ListParagraph">
    <w:name w:val="List Paragraph"/>
    <w:basedOn w:val="Normal"/>
    <w:uiPriority w:val="34"/>
    <w:qFormat/>
    <w:rsid w:val="00A05DC8"/>
    <w:pPr>
      <w:ind w:left="720"/>
      <w:contextualSpacing/>
    </w:pPr>
  </w:style>
  <w:style w:type="character" w:styleId="IntenseEmphasis">
    <w:name w:val="Intense Emphasis"/>
    <w:basedOn w:val="DefaultParagraphFont"/>
    <w:uiPriority w:val="21"/>
    <w:qFormat/>
    <w:rsid w:val="00A05DC8"/>
    <w:rPr>
      <w:i/>
      <w:iCs/>
      <w:color w:val="0F4761" w:themeColor="accent1" w:themeShade="BF"/>
    </w:rPr>
  </w:style>
  <w:style w:type="paragraph" w:styleId="IntenseQuote">
    <w:name w:val="Intense Quote"/>
    <w:basedOn w:val="Normal"/>
    <w:next w:val="Normal"/>
    <w:link w:val="IntenseQuoteChar"/>
    <w:uiPriority w:val="30"/>
    <w:qFormat/>
    <w:rsid w:val="00A0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DC8"/>
    <w:rPr>
      <w:i/>
      <w:iCs/>
      <w:color w:val="0F4761" w:themeColor="accent1" w:themeShade="BF"/>
    </w:rPr>
  </w:style>
  <w:style w:type="character" w:styleId="IntenseReference">
    <w:name w:val="Intense Reference"/>
    <w:basedOn w:val="DefaultParagraphFont"/>
    <w:uiPriority w:val="32"/>
    <w:qFormat/>
    <w:rsid w:val="00A05DC8"/>
    <w:rPr>
      <w:b/>
      <w:bCs/>
      <w:smallCaps/>
      <w:color w:val="0F4761" w:themeColor="accent1" w:themeShade="BF"/>
      <w:spacing w:val="5"/>
    </w:rPr>
  </w:style>
  <w:style w:type="table" w:styleId="TableGrid">
    <w:name w:val="Table Grid"/>
    <w:basedOn w:val="TableNormal"/>
    <w:uiPriority w:val="39"/>
    <w:rsid w:val="00A0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5333"/>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6948">
      <w:bodyDiv w:val="1"/>
      <w:marLeft w:val="0"/>
      <w:marRight w:val="0"/>
      <w:marTop w:val="0"/>
      <w:marBottom w:val="0"/>
      <w:divBdr>
        <w:top w:val="none" w:sz="0" w:space="0" w:color="auto"/>
        <w:left w:val="none" w:sz="0" w:space="0" w:color="auto"/>
        <w:bottom w:val="none" w:sz="0" w:space="0" w:color="auto"/>
        <w:right w:val="none" w:sz="0" w:space="0" w:color="auto"/>
      </w:divBdr>
    </w:div>
    <w:div w:id="123349680">
      <w:bodyDiv w:val="1"/>
      <w:marLeft w:val="0"/>
      <w:marRight w:val="0"/>
      <w:marTop w:val="0"/>
      <w:marBottom w:val="0"/>
      <w:divBdr>
        <w:top w:val="none" w:sz="0" w:space="0" w:color="auto"/>
        <w:left w:val="none" w:sz="0" w:space="0" w:color="auto"/>
        <w:bottom w:val="none" w:sz="0" w:space="0" w:color="auto"/>
        <w:right w:val="none" w:sz="0" w:space="0" w:color="auto"/>
      </w:divBdr>
    </w:div>
    <w:div w:id="126821921">
      <w:bodyDiv w:val="1"/>
      <w:marLeft w:val="0"/>
      <w:marRight w:val="0"/>
      <w:marTop w:val="0"/>
      <w:marBottom w:val="0"/>
      <w:divBdr>
        <w:top w:val="none" w:sz="0" w:space="0" w:color="auto"/>
        <w:left w:val="none" w:sz="0" w:space="0" w:color="auto"/>
        <w:bottom w:val="none" w:sz="0" w:space="0" w:color="auto"/>
        <w:right w:val="none" w:sz="0" w:space="0" w:color="auto"/>
      </w:divBdr>
    </w:div>
    <w:div w:id="702705562">
      <w:bodyDiv w:val="1"/>
      <w:marLeft w:val="0"/>
      <w:marRight w:val="0"/>
      <w:marTop w:val="0"/>
      <w:marBottom w:val="0"/>
      <w:divBdr>
        <w:top w:val="none" w:sz="0" w:space="0" w:color="auto"/>
        <w:left w:val="none" w:sz="0" w:space="0" w:color="auto"/>
        <w:bottom w:val="none" w:sz="0" w:space="0" w:color="auto"/>
        <w:right w:val="none" w:sz="0" w:space="0" w:color="auto"/>
      </w:divBdr>
    </w:div>
    <w:div w:id="878588318">
      <w:bodyDiv w:val="1"/>
      <w:marLeft w:val="0"/>
      <w:marRight w:val="0"/>
      <w:marTop w:val="0"/>
      <w:marBottom w:val="0"/>
      <w:divBdr>
        <w:top w:val="none" w:sz="0" w:space="0" w:color="auto"/>
        <w:left w:val="none" w:sz="0" w:space="0" w:color="auto"/>
        <w:bottom w:val="none" w:sz="0" w:space="0" w:color="auto"/>
        <w:right w:val="none" w:sz="0" w:space="0" w:color="auto"/>
      </w:divBdr>
    </w:div>
    <w:div w:id="1292713297">
      <w:bodyDiv w:val="1"/>
      <w:marLeft w:val="0"/>
      <w:marRight w:val="0"/>
      <w:marTop w:val="0"/>
      <w:marBottom w:val="0"/>
      <w:divBdr>
        <w:top w:val="none" w:sz="0" w:space="0" w:color="auto"/>
        <w:left w:val="none" w:sz="0" w:space="0" w:color="auto"/>
        <w:bottom w:val="none" w:sz="0" w:space="0" w:color="auto"/>
        <w:right w:val="none" w:sz="0" w:space="0" w:color="auto"/>
      </w:divBdr>
    </w:div>
    <w:div w:id="1587029861">
      <w:bodyDiv w:val="1"/>
      <w:marLeft w:val="0"/>
      <w:marRight w:val="0"/>
      <w:marTop w:val="0"/>
      <w:marBottom w:val="0"/>
      <w:divBdr>
        <w:top w:val="none" w:sz="0" w:space="0" w:color="auto"/>
        <w:left w:val="none" w:sz="0" w:space="0" w:color="auto"/>
        <w:bottom w:val="none" w:sz="0" w:space="0" w:color="auto"/>
        <w:right w:val="none" w:sz="0" w:space="0" w:color="auto"/>
      </w:divBdr>
    </w:div>
    <w:div w:id="1639844377">
      <w:bodyDiv w:val="1"/>
      <w:marLeft w:val="0"/>
      <w:marRight w:val="0"/>
      <w:marTop w:val="0"/>
      <w:marBottom w:val="0"/>
      <w:divBdr>
        <w:top w:val="none" w:sz="0" w:space="0" w:color="auto"/>
        <w:left w:val="none" w:sz="0" w:space="0" w:color="auto"/>
        <w:bottom w:val="none" w:sz="0" w:space="0" w:color="auto"/>
        <w:right w:val="none" w:sz="0" w:space="0" w:color="auto"/>
      </w:divBdr>
      <w:divsChild>
        <w:div w:id="11686770">
          <w:marLeft w:val="0"/>
          <w:marRight w:val="0"/>
          <w:marTop w:val="0"/>
          <w:marBottom w:val="0"/>
          <w:divBdr>
            <w:top w:val="none" w:sz="0" w:space="0" w:color="auto"/>
            <w:left w:val="none" w:sz="0" w:space="0" w:color="auto"/>
            <w:bottom w:val="none" w:sz="0" w:space="0" w:color="auto"/>
            <w:right w:val="none" w:sz="0" w:space="0" w:color="auto"/>
          </w:divBdr>
        </w:div>
      </w:divsChild>
    </w:div>
    <w:div w:id="1732465654">
      <w:bodyDiv w:val="1"/>
      <w:marLeft w:val="0"/>
      <w:marRight w:val="0"/>
      <w:marTop w:val="0"/>
      <w:marBottom w:val="0"/>
      <w:divBdr>
        <w:top w:val="none" w:sz="0" w:space="0" w:color="auto"/>
        <w:left w:val="none" w:sz="0" w:space="0" w:color="auto"/>
        <w:bottom w:val="none" w:sz="0" w:space="0" w:color="auto"/>
        <w:right w:val="none" w:sz="0" w:space="0" w:color="auto"/>
      </w:divBdr>
    </w:div>
    <w:div w:id="1946425012">
      <w:bodyDiv w:val="1"/>
      <w:marLeft w:val="0"/>
      <w:marRight w:val="0"/>
      <w:marTop w:val="0"/>
      <w:marBottom w:val="0"/>
      <w:divBdr>
        <w:top w:val="none" w:sz="0" w:space="0" w:color="auto"/>
        <w:left w:val="none" w:sz="0" w:space="0" w:color="auto"/>
        <w:bottom w:val="none" w:sz="0" w:space="0" w:color="auto"/>
        <w:right w:val="none" w:sz="0" w:space="0" w:color="auto"/>
      </w:divBdr>
    </w:div>
    <w:div w:id="20447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cf756c-b39d-4c94-91a5-5053a16f8456" xsi:nil="true"/>
    <lcf76f155ced4ddcb4097134ff3c332f xmlns="248cb875-14b6-4f7a-a754-bf991bad75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F4ECBAD6AF9408432525BEF9423A5" ma:contentTypeVersion="20" ma:contentTypeDescription="Create a new document." ma:contentTypeScope="" ma:versionID="5d48e3da354cbd09d4115ca92c008c15">
  <xsd:schema xmlns:xsd="http://www.w3.org/2001/XMLSchema" xmlns:xs="http://www.w3.org/2001/XMLSchema" xmlns:p="http://schemas.microsoft.com/office/2006/metadata/properties" xmlns:ns2="90cf756c-b39d-4c94-91a5-5053a16f8456" xmlns:ns3="248cb875-14b6-4f7a-a754-bf991bad7513" targetNamespace="http://schemas.microsoft.com/office/2006/metadata/properties" ma:root="true" ma:fieldsID="735b1aabdfe6a2cd8900b4fff267ebf7" ns2:_="" ns3:_="">
    <xsd:import namespace="90cf756c-b39d-4c94-91a5-5053a16f8456"/>
    <xsd:import namespace="248cb875-14b6-4f7a-a754-bf991bad7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756c-b39d-4c94-91a5-5053a16f84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03509db-f9e9-4d74-8bbe-e9c64b88f1cd}" ma:internalName="TaxCatchAll" ma:showField="CatchAllData" ma:web="90cf756c-b39d-4c94-91a5-5053a16f84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cb875-14b6-4f7a-a754-bf991bad7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e7da72-0557-45ef-976a-18195991ef09"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16D7E-6C37-435B-AD3A-5A30952E5B9D}">
  <ds:schemaRefs>
    <ds:schemaRef ds:uri="http://schemas.microsoft.com/sharepoint/v3/contenttype/forms"/>
  </ds:schemaRefs>
</ds:datastoreItem>
</file>

<file path=customXml/itemProps2.xml><?xml version="1.0" encoding="utf-8"?>
<ds:datastoreItem xmlns:ds="http://schemas.openxmlformats.org/officeDocument/2006/customXml" ds:itemID="{48D08A07-6AA2-41DE-A92A-61694116874A}">
  <ds:schemaRefs>
    <ds:schemaRef ds:uri="http://schemas.microsoft.com/office/2006/metadata/properties"/>
    <ds:schemaRef ds:uri="http://schemas.microsoft.com/office/2006/documentManagement/types"/>
    <ds:schemaRef ds:uri="90cf756c-b39d-4c94-91a5-5053a16f8456"/>
    <ds:schemaRef ds:uri="http://purl.org/dc/term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248cb875-14b6-4f7a-a754-bf991bad7513"/>
  </ds:schemaRefs>
</ds:datastoreItem>
</file>

<file path=customXml/itemProps3.xml><?xml version="1.0" encoding="utf-8"?>
<ds:datastoreItem xmlns:ds="http://schemas.openxmlformats.org/officeDocument/2006/customXml" ds:itemID="{97419808-6D1B-4612-B521-291D90FD5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756c-b39d-4c94-91a5-5053a16f8456"/>
    <ds:schemaRef ds:uri="248cb875-14b6-4f7a-a754-bf991bad7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1844</Words>
  <Characters>9882</Characters>
  <Application>Microsoft Office Word</Application>
  <DocSecurity>4</DocSecurity>
  <Lines>432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ZiXu Wang</dc:creator>
  <cp:keywords/>
  <dc:description/>
  <cp:lastModifiedBy>Nancy ZiXu Wang</cp:lastModifiedBy>
  <cp:revision>17</cp:revision>
  <dcterms:created xsi:type="dcterms:W3CDTF">2025-09-22T16:54:00Z</dcterms:created>
  <dcterms:modified xsi:type="dcterms:W3CDTF">2025-10-07T05:26:00Z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0x010100A8AF4ECBAD6AF9408432525BEF9423A5</vt:lpwstr>
  </property>
  <property fmtid="{D5CDD505-2E9C-101B-9397-08002B2CF9AE}" pid="3" name="docLang">
    <vt:lpwstr>en</vt:lpwstr>
  </property>
  <property fmtid="{D5CDD505-2E9C-101B-9397-08002B2CF9AE}" pid="4" name="MediaServiceImageTags">
    <vt:lpwstr/>
  </property>
</Properties>
</file>