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C5BD" w14:textId="5802360C" w:rsidR="00A05DC8" w:rsidRDefault="00A05DC8">
      <w:pPr>
        <w:rPr>
          <w:b/>
          <w:bCs/>
        </w:rPr>
      </w:pPr>
      <w:r w:rsidRPr="00A05DC8">
        <w:rPr>
          <w:b/>
          <w:bCs/>
        </w:rPr>
        <w:t>Audit Report – SMSF</w:t>
      </w:r>
    </w:p>
    <w:p w14:paraId="0E27112C" w14:textId="4B029635" w:rsidR="00BC56EA" w:rsidRPr="00BC56EA" w:rsidRDefault="00BC56EA">
      <w:r w:rsidRPr="00BC56EA">
        <w:t>This document outlines the content updates for the Audit Report – SMSF.</w:t>
      </w:r>
    </w:p>
    <w:tbl>
      <w:tblPr>
        <w:tblStyle w:val="TableGrid"/>
        <w:tblW w:w="0" w:type="auto"/>
        <w:tblLook w:val="04A0" w:firstRow="1" w:lastRow="0" w:firstColumn="1" w:lastColumn="0" w:noHBand="0" w:noVBand="1"/>
      </w:tblPr>
      <w:tblGrid>
        <w:gridCol w:w="2405"/>
        <w:gridCol w:w="3400"/>
        <w:gridCol w:w="3211"/>
      </w:tblGrid>
      <w:tr w:rsidR="00A05DC8" w14:paraId="767B8212" w14:textId="77777777" w:rsidTr="7369226E">
        <w:tc>
          <w:tcPr>
            <w:tcW w:w="2405" w:type="dxa"/>
          </w:tcPr>
          <w:p w14:paraId="32E4BD4A" w14:textId="02EBFE11" w:rsidR="00A05DC8" w:rsidRPr="00A05DC8" w:rsidRDefault="00A05DC8">
            <w:pPr>
              <w:rPr>
                <w:b/>
                <w:bCs/>
              </w:rPr>
            </w:pPr>
            <w:r>
              <w:rPr>
                <w:b/>
                <w:bCs/>
              </w:rPr>
              <w:t>Area</w:t>
            </w:r>
          </w:p>
        </w:tc>
        <w:tc>
          <w:tcPr>
            <w:tcW w:w="3400" w:type="dxa"/>
          </w:tcPr>
          <w:p w14:paraId="424CED41" w14:textId="488BB67D" w:rsidR="00A05DC8" w:rsidRPr="00A05DC8" w:rsidRDefault="00A05DC8">
            <w:pPr>
              <w:rPr>
                <w:b/>
                <w:bCs/>
              </w:rPr>
            </w:pPr>
            <w:r w:rsidRPr="00A05DC8">
              <w:rPr>
                <w:b/>
                <w:bCs/>
              </w:rPr>
              <w:t>Old Text</w:t>
            </w:r>
          </w:p>
        </w:tc>
        <w:tc>
          <w:tcPr>
            <w:tcW w:w="3211" w:type="dxa"/>
          </w:tcPr>
          <w:p w14:paraId="1C369EEC" w14:textId="23C162B1" w:rsidR="00A05DC8" w:rsidRPr="00A05DC8" w:rsidRDefault="00A05DC8">
            <w:pPr>
              <w:rPr>
                <w:b/>
                <w:bCs/>
              </w:rPr>
            </w:pPr>
            <w:r w:rsidRPr="00A05DC8">
              <w:rPr>
                <w:b/>
                <w:bCs/>
              </w:rPr>
              <w:t>New Text</w:t>
            </w:r>
          </w:p>
        </w:tc>
      </w:tr>
      <w:tr w:rsidR="7369226E" w14:paraId="5DE08284" w14:textId="77777777" w:rsidTr="7369226E">
        <w:trPr>
          <w:trHeight w:val="300"/>
        </w:trPr>
        <w:tc>
          <w:tcPr>
            <w:tcW w:w="2405" w:type="dxa"/>
          </w:tcPr>
          <w:p w14:paraId="633263C5" w14:textId="7C944E96" w:rsidR="7369226E" w:rsidRDefault="7369226E" w:rsidP="7369226E">
            <w:pPr>
              <w:rPr>
                <w:b/>
                <w:bCs/>
              </w:rPr>
            </w:pPr>
            <w:r w:rsidRPr="7369226E">
              <w:rPr>
                <w:b/>
                <w:bCs/>
              </w:rPr>
              <w:t>Auditor Details</w:t>
            </w:r>
          </w:p>
        </w:tc>
        <w:tc>
          <w:tcPr>
            <w:tcW w:w="3400" w:type="dxa"/>
          </w:tcPr>
          <w:p w14:paraId="3D449079" w14:textId="77777777" w:rsidR="7369226E" w:rsidRDefault="7369226E" w:rsidP="7369226E">
            <w:pPr>
              <w:rPr>
                <w:b/>
                <w:bCs/>
              </w:rPr>
            </w:pPr>
          </w:p>
        </w:tc>
        <w:tc>
          <w:tcPr>
            <w:tcW w:w="3211" w:type="dxa"/>
          </w:tcPr>
          <w:p w14:paraId="0A2BFE4F" w14:textId="37671E06" w:rsidR="7369226E" w:rsidRDefault="7369226E" w:rsidP="7369226E">
            <w:pPr>
              <w:rPr>
                <w:i/>
                <w:iCs/>
              </w:rPr>
            </w:pPr>
            <w:r>
              <w:t>(</w:t>
            </w:r>
            <w:r w:rsidRPr="7369226E">
              <w:rPr>
                <w:i/>
                <w:iCs/>
              </w:rPr>
              <w:t>Note: Heading is moved to the template)</w:t>
            </w:r>
          </w:p>
        </w:tc>
      </w:tr>
      <w:tr w:rsidR="7369226E" w14:paraId="0FAFB4B3" w14:textId="77777777" w:rsidTr="7369226E">
        <w:trPr>
          <w:trHeight w:val="300"/>
        </w:trPr>
        <w:tc>
          <w:tcPr>
            <w:tcW w:w="2405" w:type="dxa"/>
          </w:tcPr>
          <w:p w14:paraId="42E64071" w14:textId="13B304DA" w:rsidR="7369226E" w:rsidRDefault="7369226E" w:rsidP="7369226E">
            <w:pPr>
              <w:rPr>
                <w:b/>
                <w:bCs/>
              </w:rPr>
            </w:pPr>
            <w:r w:rsidRPr="7369226E">
              <w:rPr>
                <w:b/>
                <w:bCs/>
              </w:rPr>
              <w:t>Fund Details</w:t>
            </w:r>
          </w:p>
        </w:tc>
        <w:tc>
          <w:tcPr>
            <w:tcW w:w="3400" w:type="dxa"/>
          </w:tcPr>
          <w:p w14:paraId="397F37FE" w14:textId="77777777" w:rsidR="7369226E" w:rsidRDefault="7369226E" w:rsidP="7369226E">
            <w:pPr>
              <w:rPr>
                <w:b/>
                <w:bCs/>
              </w:rPr>
            </w:pPr>
          </w:p>
        </w:tc>
        <w:tc>
          <w:tcPr>
            <w:tcW w:w="3211" w:type="dxa"/>
          </w:tcPr>
          <w:p w14:paraId="667AE164" w14:textId="45BE39A9" w:rsidR="7369226E" w:rsidRDefault="7369226E" w:rsidP="7369226E">
            <w:pPr>
              <w:rPr>
                <w:i/>
                <w:iCs/>
              </w:rPr>
            </w:pPr>
            <w:r>
              <w:t>(</w:t>
            </w:r>
            <w:r w:rsidRPr="7369226E">
              <w:rPr>
                <w:i/>
                <w:iCs/>
              </w:rPr>
              <w:t xml:space="preserve">Note: Heading </w:t>
            </w:r>
            <w:r w:rsidR="00603B5D">
              <w:rPr>
                <w:i/>
                <w:iCs/>
              </w:rPr>
              <w:t xml:space="preserve">and To the SMSF </w:t>
            </w:r>
            <w:r w:rsidR="00B80F3C">
              <w:rPr>
                <w:i/>
                <w:iCs/>
              </w:rPr>
              <w:t>trustees’</w:t>
            </w:r>
            <w:r w:rsidR="00603B5D">
              <w:rPr>
                <w:i/>
                <w:iCs/>
              </w:rPr>
              <w:t xml:space="preserve"> section</w:t>
            </w:r>
            <w:r w:rsidRPr="7369226E">
              <w:rPr>
                <w:i/>
                <w:iCs/>
              </w:rPr>
              <w:t xml:space="preserve"> </w:t>
            </w:r>
            <w:r w:rsidR="00603B5D">
              <w:rPr>
                <w:i/>
                <w:iCs/>
              </w:rPr>
              <w:t>are</w:t>
            </w:r>
            <w:r w:rsidRPr="7369226E">
              <w:rPr>
                <w:i/>
                <w:iCs/>
              </w:rPr>
              <w:t xml:space="preserve"> moved to the template)</w:t>
            </w:r>
          </w:p>
        </w:tc>
      </w:tr>
      <w:tr w:rsidR="00A05DC8" w14:paraId="43770D00" w14:textId="77777777" w:rsidTr="7369226E">
        <w:tc>
          <w:tcPr>
            <w:tcW w:w="2405" w:type="dxa"/>
          </w:tcPr>
          <w:p w14:paraId="5956F779" w14:textId="02DD0B24" w:rsidR="00A05DC8" w:rsidRPr="00A05DC8" w:rsidRDefault="00A05DC8" w:rsidP="00A05DC8">
            <w:pPr>
              <w:rPr>
                <w:b/>
                <w:bCs/>
              </w:rPr>
            </w:pPr>
            <w:r w:rsidRPr="00A05DC8">
              <w:rPr>
                <w:b/>
                <w:bCs/>
              </w:rPr>
              <w:t>Emphasis of Matter – Basis of Accounting</w:t>
            </w:r>
          </w:p>
        </w:tc>
        <w:tc>
          <w:tcPr>
            <w:tcW w:w="3400" w:type="dxa"/>
          </w:tcPr>
          <w:p w14:paraId="037C659B" w14:textId="0C3E9E98" w:rsidR="00A05DC8" w:rsidRPr="00A05DC8" w:rsidRDefault="00A05DC8" w:rsidP="00A05DC8">
            <w:r w:rsidRPr="00A05DC8">
              <w:rPr>
                <w:b/>
                <w:bCs/>
              </w:rPr>
              <w:t>Emphasis of Matter - Basis of accounting</w:t>
            </w:r>
          </w:p>
          <w:p w14:paraId="7B39F189" w14:textId="3D2FD08C" w:rsidR="00A05DC8" w:rsidRDefault="00A05DC8">
            <w:r w:rsidRPr="00A05DC8">
              <w:t>I draw attention to note 1 of the financial report, which describes the basis of accounting. The financial report has been prepared to assist [FundName] meet the requirements of the SMSF's governing rules, the </w:t>
            </w:r>
            <w:r w:rsidRPr="00A05DC8">
              <w:rPr>
                <w:i/>
                <w:iCs/>
              </w:rPr>
              <w:t>Superannuation Industry (Supervision) Act 1993</w:t>
            </w:r>
            <w:r w:rsidRPr="00A05DC8">
              <w:t> (SISA) and the </w:t>
            </w:r>
            <w:r w:rsidRPr="00A05DC8">
              <w:rPr>
                <w:i/>
                <w:iCs/>
              </w:rPr>
              <w:t>Superannuation Industry (Supervision) Regulations 1994</w:t>
            </w:r>
            <w:r w:rsidRPr="00A05DC8">
              <w:t> (SISR). As a result, the financial report may not be suitable for other purposes and should not be distributed to parties other than the trustees. My opinion is not modified in respect of this matter.</w:t>
            </w:r>
          </w:p>
        </w:tc>
        <w:tc>
          <w:tcPr>
            <w:tcW w:w="3211" w:type="dxa"/>
          </w:tcPr>
          <w:p w14:paraId="093AC16D" w14:textId="7A61EFAA" w:rsidR="00A05DC8" w:rsidRPr="00A05DC8" w:rsidRDefault="00A05DC8" w:rsidP="00A05DC8">
            <w:pPr>
              <w:rPr>
                <w:i/>
                <w:iCs/>
              </w:rPr>
            </w:pPr>
            <w:r w:rsidRPr="00A05DC8">
              <w:t>(</w:t>
            </w:r>
            <w:r w:rsidRPr="00A05DC8">
              <w:rPr>
                <w:i/>
                <w:iCs/>
              </w:rPr>
              <w:t>Note: Heading is moved to the template)</w:t>
            </w:r>
          </w:p>
          <w:p w14:paraId="78F3FE7D" w14:textId="117087F0" w:rsidR="00B95853" w:rsidRDefault="00A05DC8">
            <w:r w:rsidRPr="00A05DC8">
              <w:t xml:space="preserve">I draw attention to note 1 of the financial report, which describes the basis of accounting. The financial report has been prepared to assist </w:t>
            </w:r>
            <w:r w:rsidR="0019608A" w:rsidRPr="00A05DC8">
              <w:t xml:space="preserve">[FundName] </w:t>
            </w:r>
            <w:r w:rsidRPr="00A05DC8">
              <w:t xml:space="preserve">meet the requirements of the SMSF’s governing rules, the </w:t>
            </w:r>
            <w:r w:rsidRPr="00A05DC8">
              <w:rPr>
                <w:i/>
                <w:iCs/>
              </w:rPr>
              <w:t>Superannuation Industry (Supervision) Act 1993</w:t>
            </w:r>
            <w:r w:rsidRPr="00A05DC8">
              <w:t xml:space="preserve"> (SISA) and the SISR. As a result, the financial report may not be suitable for other purposes and should not be distributed to parties other than the trustees. My opinion is not modified in respect of this matter.</w:t>
            </w:r>
          </w:p>
        </w:tc>
      </w:tr>
    </w:tbl>
    <w:p w14:paraId="47C79CAD" w14:textId="77777777" w:rsidR="00A05DC8" w:rsidRDefault="00A05DC8"/>
    <w:sectPr w:rsidR="00A05D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C8"/>
    <w:rsid w:val="0004414D"/>
    <w:rsid w:val="0019608A"/>
    <w:rsid w:val="001D1DFA"/>
    <w:rsid w:val="00271F9E"/>
    <w:rsid w:val="00474DAB"/>
    <w:rsid w:val="00512580"/>
    <w:rsid w:val="00565193"/>
    <w:rsid w:val="00603B5D"/>
    <w:rsid w:val="0077168F"/>
    <w:rsid w:val="009060F7"/>
    <w:rsid w:val="009673A7"/>
    <w:rsid w:val="009C45BD"/>
    <w:rsid w:val="00A05DC8"/>
    <w:rsid w:val="00B458C4"/>
    <w:rsid w:val="00B80F3C"/>
    <w:rsid w:val="00B95853"/>
    <w:rsid w:val="00BC56EA"/>
    <w:rsid w:val="00CD2145"/>
    <w:rsid w:val="00D727F2"/>
    <w:rsid w:val="00F31A92"/>
    <w:rsid w:val="00F500B8"/>
    <w:rsid w:val="00F907C1"/>
    <w:rsid w:val="736922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5DBF4C2"/>
  <w15:chartTrackingRefBased/>
  <w15:docId w15:val="{95E9E26E-F51A-4CE6-B966-AFED1FB3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DC8"/>
    <w:rPr>
      <w:rFonts w:eastAsiaTheme="majorEastAsia" w:cstheme="majorBidi"/>
      <w:color w:val="272727" w:themeColor="text1" w:themeTint="D8"/>
    </w:rPr>
  </w:style>
  <w:style w:type="paragraph" w:styleId="Title">
    <w:name w:val="Title"/>
    <w:basedOn w:val="Normal"/>
    <w:next w:val="Normal"/>
    <w:link w:val="TitleChar"/>
    <w:uiPriority w:val="10"/>
    <w:qFormat/>
    <w:rsid w:val="00A05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DC8"/>
    <w:pPr>
      <w:spacing w:before="160"/>
      <w:jc w:val="center"/>
    </w:pPr>
    <w:rPr>
      <w:i/>
      <w:iCs/>
      <w:color w:val="404040" w:themeColor="text1" w:themeTint="BF"/>
    </w:rPr>
  </w:style>
  <w:style w:type="character" w:customStyle="1" w:styleId="QuoteChar">
    <w:name w:val="Quote Char"/>
    <w:basedOn w:val="DefaultParagraphFont"/>
    <w:link w:val="Quote"/>
    <w:uiPriority w:val="29"/>
    <w:rsid w:val="00A05DC8"/>
    <w:rPr>
      <w:i/>
      <w:iCs/>
      <w:color w:val="404040" w:themeColor="text1" w:themeTint="BF"/>
    </w:rPr>
  </w:style>
  <w:style w:type="paragraph" w:styleId="ListParagraph">
    <w:name w:val="List Paragraph"/>
    <w:basedOn w:val="Normal"/>
    <w:uiPriority w:val="34"/>
    <w:qFormat/>
    <w:rsid w:val="00A05DC8"/>
    <w:pPr>
      <w:ind w:left="720"/>
      <w:contextualSpacing/>
    </w:pPr>
  </w:style>
  <w:style w:type="character" w:styleId="IntenseEmphasis">
    <w:name w:val="Intense Emphasis"/>
    <w:basedOn w:val="DefaultParagraphFont"/>
    <w:uiPriority w:val="21"/>
    <w:qFormat/>
    <w:rsid w:val="00A05DC8"/>
    <w:rPr>
      <w:i/>
      <w:iCs/>
      <w:color w:val="0F4761" w:themeColor="accent1" w:themeShade="BF"/>
    </w:rPr>
  </w:style>
  <w:style w:type="paragraph" w:styleId="IntenseQuote">
    <w:name w:val="Intense Quote"/>
    <w:basedOn w:val="Normal"/>
    <w:next w:val="Normal"/>
    <w:link w:val="IntenseQuoteChar"/>
    <w:uiPriority w:val="30"/>
    <w:qFormat/>
    <w:rsid w:val="00A05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DC8"/>
    <w:rPr>
      <w:i/>
      <w:iCs/>
      <w:color w:val="0F4761" w:themeColor="accent1" w:themeShade="BF"/>
    </w:rPr>
  </w:style>
  <w:style w:type="character" w:styleId="IntenseReference">
    <w:name w:val="Intense Reference"/>
    <w:basedOn w:val="DefaultParagraphFont"/>
    <w:uiPriority w:val="32"/>
    <w:qFormat/>
    <w:rsid w:val="00A05DC8"/>
    <w:rPr>
      <w:b/>
      <w:bCs/>
      <w:smallCaps/>
      <w:color w:val="0F4761" w:themeColor="accent1" w:themeShade="BF"/>
      <w:spacing w:val="5"/>
    </w:rPr>
  </w:style>
  <w:style w:type="table" w:styleId="TableGrid">
    <w:name w:val="Table Grid"/>
    <w:basedOn w:val="TableNormal"/>
    <w:uiPriority w:val="39"/>
    <w:rsid w:val="00A0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F4ECBAD6AF9408432525BEF9423A5" ma:contentTypeVersion="20" ma:contentTypeDescription="Create a new document." ma:contentTypeScope="" ma:versionID="5d48e3da354cbd09d4115ca92c008c15">
  <xsd:schema xmlns:xsd="http://www.w3.org/2001/XMLSchema" xmlns:xs="http://www.w3.org/2001/XMLSchema" xmlns:p="http://schemas.microsoft.com/office/2006/metadata/properties" xmlns:ns2="90cf756c-b39d-4c94-91a5-5053a16f8456" xmlns:ns3="248cb875-14b6-4f7a-a754-bf991bad7513" targetNamespace="http://schemas.microsoft.com/office/2006/metadata/properties" ma:root="true" ma:fieldsID="735b1aabdfe6a2cd8900b4fff267ebf7" ns2:_="" ns3:_="">
    <xsd:import namespace="90cf756c-b39d-4c94-91a5-5053a16f8456"/>
    <xsd:import namespace="248cb875-14b6-4f7a-a754-bf991bad75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SearchPropertie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f756c-b39d-4c94-91a5-5053a16f84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03509db-f9e9-4d74-8bbe-e9c64b88f1cd}" ma:internalName="TaxCatchAll" ma:showField="CatchAllData" ma:web="90cf756c-b39d-4c94-91a5-5053a16f84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8cb875-14b6-4f7a-a754-bf991bad75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e7da72-0557-45ef-976a-18195991ef09"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cf756c-b39d-4c94-91a5-5053a16f8456" xsi:nil="true"/>
    <lcf76f155ced4ddcb4097134ff3c332f xmlns="248cb875-14b6-4f7a-a754-bf991bad75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39E56C-191D-4FE1-80C6-A76A1895C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f756c-b39d-4c94-91a5-5053a16f8456"/>
    <ds:schemaRef ds:uri="248cb875-14b6-4f7a-a754-bf991bad7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AE5BB-C1F4-4083-9188-B2322208E6A0}">
  <ds:schemaRefs>
    <ds:schemaRef ds:uri="http://schemas.microsoft.com/sharepoint/v3/contenttype/forms"/>
  </ds:schemaRefs>
</ds:datastoreItem>
</file>

<file path=customXml/itemProps3.xml><?xml version="1.0" encoding="utf-8"?>
<ds:datastoreItem xmlns:ds="http://schemas.openxmlformats.org/officeDocument/2006/customXml" ds:itemID="{47AF4994-4646-49D1-AE5F-6C3B477223C1}">
  <ds:schemaRefs>
    <ds:schemaRef ds:uri="http://schemas.microsoft.com/office/2006/metadata/properties"/>
    <ds:schemaRef ds:uri="http://schemas.microsoft.com/office/infopath/2007/PartnerControls"/>
    <ds:schemaRef ds:uri="90cf756c-b39d-4c94-91a5-5053a16f8456"/>
    <ds:schemaRef ds:uri="248cb875-14b6-4f7a-a754-bf991bad751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ZiXu Wang</dc:creator>
  <cp:keywords/>
  <dc:description/>
  <cp:lastModifiedBy>Sebastien Brennan</cp:lastModifiedBy>
  <cp:revision>11</cp:revision>
  <dcterms:created xsi:type="dcterms:W3CDTF">2025-09-21T23:54:00Z</dcterms:created>
  <dcterms:modified xsi:type="dcterms:W3CDTF">2025-10-07T06:20:00Z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0x010100A8AF4ECBAD6AF9408432525BEF9423A5</vt:lpwstr>
  </property>
  <property fmtid="{D5CDD505-2E9C-101B-9397-08002B2CF9AE}" pid="3" name="docLang">
    <vt:lpwstr>en</vt:lpwstr>
  </property>
  <property fmtid="{D5CDD505-2E9C-101B-9397-08002B2CF9AE}" pid="4" name="MediaServiceImageTags">
    <vt:lpwstr/>
  </property>
</Properties>
</file>