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2D47" w:rsidRPr="00012D47" w:rsidRDefault="008E2C4C" w:rsidP="006A6CED">
      <w:pPr>
        <w:keepNext/>
        <w:keepLines/>
        <w:spacing w:after="0" w:line="240" w:lineRule="auto"/>
        <w:rPr>
          <w:rFonts w:cs="Arial"/>
          <w:b/>
          <w:bCs/>
          <w:color w:val="000000"/>
          <w:sz w:val="24"/>
          <w:szCs w:val="24"/>
        </w:rPr>
      </w:pPr>
      <w:r w:rsidRPr="00012D47">
        <w:rPr>
          <w:rFonts w:cs="Arial"/>
          <w:b/>
          <w:bCs/>
          <w:color w:val="000000"/>
          <w:sz w:val="24"/>
          <w:szCs w:val="24"/>
        </w:rPr>
        <w:t xml:space="preserve">Note 1 </w:t>
      </w:r>
      <w:r w:rsidRPr="00012D47">
        <w:rPr>
          <w:rFonts w:cs="Arial"/>
          <w:b/>
          <w:bCs/>
          <w:color w:val="000000"/>
          <w:sz w:val="24"/>
          <w:szCs w:val="24"/>
        </w:rPr>
        <w:noBreakHyphen/>
        <w:t xml:space="preserve"> Statement of Significant Accounting Policies</w:t>
      </w:r>
    </w:p>
    <w:p w:rsidR="00012D47" w:rsidRPr="00012D47" w:rsidRDefault="008E2C4C" w:rsidP="006A6CED">
      <w:pPr>
        <w:keepNext/>
        <w:keepLines/>
        <w:spacing w:after="0" w:line="240" w:lineRule="auto"/>
        <w:rPr>
          <w:rFonts w:cs="Arial"/>
        </w:rPr>
      </w:pPr>
    </w:p>
    <w:p w:rsidR="00012D47" w:rsidRPr="00347D84" w:rsidRDefault="008E2C4C" w:rsidP="006A6CED">
      <w:pPr>
        <w:keepNext/>
        <w:keepLines/>
        <w:spacing w:after="0" w:line="240" w:lineRule="auto"/>
        <w:rPr>
          <w:rFonts w:cs="Arial"/>
          <w:color w:val="000000"/>
          <w:sz w:val="18"/>
          <w:szCs w:val="18"/>
        </w:rPr>
      </w:pPr>
      <w:r w:rsidRPr="00347D84">
        <w:rPr>
          <w:rFonts w:cs="Arial"/>
          <w:color w:val="000000"/>
          <w:sz w:val="18"/>
          <w:szCs w:val="18"/>
        </w:rPr>
        <w:t>The following significant accounting policies have been adopted in the preparation and presentation of the financial statements. They have been consistently applied in the current and previous periods unless otherwise stated to ensure the financial informa</w:t>
      </w:r>
      <w:r w:rsidRPr="00347D84">
        <w:rPr>
          <w:rFonts w:cs="Arial"/>
          <w:color w:val="000000"/>
          <w:sz w:val="18"/>
          <w:szCs w:val="18"/>
        </w:rPr>
        <w:t xml:space="preserve">tion satisfies the concept of relevance and reliability.  </w:t>
      </w:r>
    </w:p>
    <w:p w:rsidR="00012D47" w:rsidRPr="00347D84" w:rsidRDefault="008E2C4C" w:rsidP="00012D47">
      <w:pPr>
        <w:widowControl w:val="0"/>
        <w:tabs>
          <w:tab w:val="left" w:pos="8505"/>
        </w:tabs>
        <w:spacing w:after="0" w:line="240" w:lineRule="auto"/>
        <w:rPr>
          <w:rFonts w:cs="Arial"/>
          <w:color w:val="000000"/>
          <w:sz w:val="18"/>
          <w:szCs w:val="18"/>
        </w:rPr>
      </w:pPr>
      <w:r w:rsidRPr="00347D84">
        <w:rPr>
          <w:rFonts w:cs="Arial"/>
          <w:color w:val="000000"/>
          <w:sz w:val="18"/>
          <w:szCs w:val="18"/>
        </w:rPr>
        <w:t xml:space="preserve">      </w:t>
      </w:r>
    </w:p>
    <w:p w:rsidR="00012D47" w:rsidRPr="00347D84" w:rsidRDefault="008E2C4C" w:rsidP="006A6CED">
      <w:pPr>
        <w:keepNext/>
        <w:keepLines/>
        <w:widowControl w:val="0"/>
        <w:tabs>
          <w:tab w:val="left" w:pos="30"/>
          <w:tab w:val="left" w:pos="60"/>
          <w:tab w:val="left" w:pos="372"/>
        </w:tabs>
        <w:spacing w:after="0" w:line="240" w:lineRule="auto"/>
        <w:rPr>
          <w:rFonts w:cs="Arial"/>
          <w:b/>
          <w:bCs/>
          <w:color w:val="000000"/>
          <w:sz w:val="22"/>
        </w:rPr>
      </w:pPr>
      <w:r w:rsidRPr="00347D84">
        <w:rPr>
          <w:rFonts w:cs="Arial"/>
          <w:sz w:val="22"/>
        </w:rPr>
        <w:tab/>
      </w:r>
      <w:r w:rsidRPr="00347D84">
        <w:rPr>
          <w:rFonts w:cs="Arial"/>
          <w:b/>
          <w:bCs/>
          <w:color w:val="000000"/>
          <w:sz w:val="22"/>
        </w:rPr>
        <w:t>(a)</w:t>
      </w:r>
      <w:r w:rsidRPr="00347D84">
        <w:rPr>
          <w:rFonts w:cs="Arial"/>
          <w:b/>
          <w:bCs/>
          <w:color w:val="000000"/>
          <w:sz w:val="22"/>
        </w:rPr>
        <w:tab/>
        <w:t>Statement of Compliance</w:t>
      </w:r>
    </w:p>
    <w:p w:rsidR="00012D47" w:rsidRPr="00347D84" w:rsidRDefault="008E2C4C" w:rsidP="006A6CED">
      <w:pPr>
        <w:keepNext/>
        <w:keepLines/>
        <w:widowControl w:val="0"/>
        <w:spacing w:after="0" w:line="240" w:lineRule="auto"/>
        <w:rPr>
          <w:rFonts w:cs="Arial"/>
          <w:sz w:val="18"/>
          <w:szCs w:val="18"/>
        </w:rPr>
      </w:pPr>
    </w:p>
    <w:p w:rsidR="00012D47" w:rsidRPr="00347D84" w:rsidRDefault="008E2C4C" w:rsidP="006A6CED">
      <w:pPr>
        <w:keepNext/>
        <w:keepLines/>
        <w:widowControl w:val="0"/>
        <w:tabs>
          <w:tab w:val="left" w:pos="29"/>
        </w:tabs>
        <w:spacing w:after="0" w:line="240" w:lineRule="auto"/>
        <w:rPr>
          <w:rFonts w:cs="Arial"/>
          <w:color w:val="000000"/>
          <w:sz w:val="18"/>
          <w:szCs w:val="18"/>
        </w:rPr>
      </w:pPr>
      <w:r w:rsidRPr="008B01FE">
        <w:rPr>
          <w:rFonts w:cs="Arial"/>
          <w:color w:val="000000"/>
          <w:sz w:val="18"/>
          <w:szCs w:val="18"/>
        </w:rPr>
        <w:t xml:space="preserve">The trustees have prepared the financial statements on the basis that the superannuation fund is a non-reporting entity because the members are able to command </w:t>
      </w:r>
      <w:r w:rsidRPr="008B01FE">
        <w:rPr>
          <w:rFonts w:cs="Arial"/>
          <w:color w:val="000000"/>
          <w:sz w:val="18"/>
          <w:szCs w:val="18"/>
        </w:rPr>
        <w:t xml:space="preserve">the preparation of tailored reports so as to satisfy specifically all of their information needs and there are no other users dependent on the financial statements. The financial statements are therefore special purpose financial statements that have been </w:t>
      </w:r>
      <w:r w:rsidRPr="008B01FE">
        <w:rPr>
          <w:rFonts w:cs="Arial"/>
          <w:color w:val="000000"/>
          <w:sz w:val="18"/>
          <w:szCs w:val="18"/>
        </w:rPr>
        <w:t xml:space="preserve">prepared in accordance with the legislative requirements of the </w:t>
      </w:r>
      <w:r w:rsidRPr="008B01FE">
        <w:rPr>
          <w:rFonts w:cs="Arial"/>
          <w:i/>
          <w:color w:val="000000"/>
          <w:sz w:val="18"/>
          <w:szCs w:val="18"/>
        </w:rPr>
        <w:t>Superannuation Industry (Supervision) Act 1993</w:t>
      </w:r>
      <w:r w:rsidRPr="008B01FE">
        <w:rPr>
          <w:rFonts w:cs="Arial"/>
          <w:color w:val="000000"/>
          <w:sz w:val="18"/>
          <w:szCs w:val="18"/>
        </w:rPr>
        <w:t xml:space="preserve"> and </w:t>
      </w:r>
      <w:r w:rsidRPr="008B01FE">
        <w:rPr>
          <w:rFonts w:cs="Arial"/>
          <w:i/>
          <w:color w:val="000000"/>
          <w:sz w:val="18"/>
          <w:szCs w:val="18"/>
        </w:rPr>
        <w:t>Regulations 1994</w:t>
      </w:r>
      <w:r w:rsidRPr="008B01FE">
        <w:rPr>
          <w:rFonts w:cs="Arial"/>
          <w:color w:val="000000"/>
          <w:sz w:val="18"/>
          <w:szCs w:val="18"/>
        </w:rPr>
        <w:t xml:space="preserve"> and the provisions of the Trust Deed. The trustees have determined that the accounting policies adopted are appropriate to m</w:t>
      </w:r>
      <w:r w:rsidRPr="008B01FE">
        <w:rPr>
          <w:rFonts w:cs="Arial"/>
          <w:color w:val="000000"/>
          <w:sz w:val="18"/>
          <w:szCs w:val="18"/>
        </w:rPr>
        <w:t>eet their needs</w:t>
      </w:r>
      <w:r>
        <w:rPr>
          <w:rFonts w:cs="Arial"/>
          <w:color w:val="000000"/>
          <w:sz w:val="18"/>
          <w:szCs w:val="18"/>
        </w:rPr>
        <w:t>.</w:t>
      </w:r>
    </w:p>
    <w:p w:rsidR="00012D47" w:rsidRPr="00347D84" w:rsidRDefault="008E2C4C" w:rsidP="00012D47">
      <w:pPr>
        <w:widowControl w:val="0"/>
        <w:spacing w:after="0" w:line="240" w:lineRule="auto"/>
        <w:rPr>
          <w:rFonts w:cs="Arial"/>
          <w:sz w:val="18"/>
          <w:szCs w:val="18"/>
        </w:rPr>
      </w:pPr>
      <w:bookmarkStart w:id="0" w:name="_GoBack"/>
      <w:bookmarkEnd w:id="0"/>
    </w:p>
    <w:p w:rsidR="00012D47" w:rsidRPr="00347D84" w:rsidRDefault="008E2C4C" w:rsidP="006A6CED">
      <w:pPr>
        <w:keepNext/>
        <w:keepLines/>
        <w:widowControl w:val="0"/>
        <w:tabs>
          <w:tab w:val="left" w:pos="31"/>
          <w:tab w:val="left" w:pos="372"/>
        </w:tabs>
        <w:spacing w:after="0" w:line="240" w:lineRule="auto"/>
        <w:rPr>
          <w:rFonts w:cs="Arial"/>
          <w:b/>
          <w:bCs/>
          <w:color w:val="000000"/>
          <w:sz w:val="22"/>
        </w:rPr>
      </w:pPr>
      <w:r w:rsidRPr="00347D84">
        <w:rPr>
          <w:rFonts w:cs="Arial"/>
          <w:sz w:val="22"/>
        </w:rPr>
        <w:tab/>
      </w:r>
      <w:r w:rsidRPr="00347D84">
        <w:rPr>
          <w:rFonts w:cs="Arial"/>
          <w:b/>
          <w:bCs/>
          <w:color w:val="000000"/>
          <w:sz w:val="22"/>
        </w:rPr>
        <w:t>(b)</w:t>
      </w:r>
      <w:r w:rsidRPr="00347D84">
        <w:rPr>
          <w:rFonts w:cs="Arial"/>
          <w:b/>
          <w:bCs/>
          <w:color w:val="000000"/>
          <w:sz w:val="22"/>
        </w:rPr>
        <w:tab/>
        <w:t>Basis of Preparation</w:t>
      </w:r>
    </w:p>
    <w:p w:rsidR="00012D47" w:rsidRPr="00347D84" w:rsidRDefault="008E2C4C" w:rsidP="006A6CED">
      <w:pPr>
        <w:keepNext/>
        <w:keepLines/>
        <w:widowControl w:val="0"/>
        <w:spacing w:after="0" w:line="240" w:lineRule="auto"/>
        <w:rPr>
          <w:rFonts w:cs="Arial"/>
          <w:sz w:val="18"/>
          <w:szCs w:val="18"/>
        </w:rPr>
      </w:pPr>
    </w:p>
    <w:p w:rsidR="00012D47" w:rsidRPr="00347D84" w:rsidRDefault="008E2C4C" w:rsidP="006A6CED">
      <w:pPr>
        <w:keepNext/>
        <w:keepLines/>
        <w:widowControl w:val="0"/>
        <w:tabs>
          <w:tab w:val="left" w:pos="29"/>
        </w:tabs>
        <w:spacing w:after="0" w:line="240" w:lineRule="auto"/>
        <w:rPr>
          <w:rFonts w:cs="Arial"/>
          <w:color w:val="000000"/>
          <w:sz w:val="18"/>
          <w:szCs w:val="18"/>
        </w:rPr>
      </w:pPr>
      <w:r w:rsidRPr="00347D84">
        <w:rPr>
          <w:rFonts w:cs="Arial"/>
          <w:color w:val="000000"/>
          <w:sz w:val="18"/>
          <w:szCs w:val="18"/>
        </w:rPr>
        <w:t xml:space="preserve">The financial statements have been prepared on a cash basis using historical costs convention unless stated otherwise. For investments and financial liabilities, they are measured at market values. </w:t>
      </w:r>
    </w:p>
    <w:p w:rsidR="00012D47" w:rsidRPr="00347D84" w:rsidRDefault="008E2C4C" w:rsidP="006A6CED">
      <w:pPr>
        <w:keepNext/>
        <w:keepLines/>
        <w:widowControl w:val="0"/>
        <w:spacing w:after="0" w:line="240" w:lineRule="auto"/>
        <w:rPr>
          <w:rFonts w:cs="Arial"/>
          <w:sz w:val="18"/>
          <w:szCs w:val="18"/>
        </w:rPr>
      </w:pPr>
    </w:p>
    <w:p w:rsidR="00012D47" w:rsidRPr="00347D84" w:rsidRDefault="008E2C4C" w:rsidP="006A6CED">
      <w:pPr>
        <w:keepNext/>
        <w:keepLines/>
        <w:widowControl w:val="0"/>
        <w:tabs>
          <w:tab w:val="left" w:pos="29"/>
        </w:tabs>
        <w:spacing w:after="0" w:line="240" w:lineRule="auto"/>
        <w:rPr>
          <w:rFonts w:cs="Arial"/>
          <w:color w:val="000000"/>
          <w:sz w:val="18"/>
          <w:szCs w:val="18"/>
        </w:rPr>
      </w:pPr>
      <w:r w:rsidRPr="00347D84">
        <w:rPr>
          <w:rFonts w:cs="Arial"/>
          <w:color w:val="000000"/>
          <w:sz w:val="18"/>
          <w:szCs w:val="18"/>
        </w:rPr>
        <w:t>The financi</w:t>
      </w:r>
      <w:r w:rsidRPr="00347D84">
        <w:rPr>
          <w:rFonts w:cs="Arial"/>
          <w:color w:val="000000"/>
          <w:sz w:val="18"/>
          <w:szCs w:val="18"/>
        </w:rPr>
        <w:t xml:space="preserve">al statements are presented in Australian dollars, which is the functional currency of the fund.   </w:t>
      </w:r>
    </w:p>
    <w:p w:rsidR="00012D47" w:rsidRPr="00347D84" w:rsidRDefault="008E2C4C" w:rsidP="00012D47">
      <w:pPr>
        <w:widowControl w:val="0"/>
        <w:spacing w:after="0" w:line="240" w:lineRule="auto"/>
        <w:rPr>
          <w:rFonts w:cs="Arial"/>
          <w:sz w:val="18"/>
          <w:szCs w:val="18"/>
        </w:rPr>
      </w:pPr>
    </w:p>
    <w:p w:rsidR="00012D47" w:rsidRPr="00347D84" w:rsidRDefault="008E2C4C" w:rsidP="006A6CED">
      <w:pPr>
        <w:keepNext/>
        <w:keepLines/>
        <w:widowControl w:val="0"/>
        <w:tabs>
          <w:tab w:val="left" w:pos="30"/>
          <w:tab w:val="left" w:pos="60"/>
        </w:tabs>
        <w:spacing w:after="0" w:line="240" w:lineRule="auto"/>
        <w:rPr>
          <w:rFonts w:cs="Arial"/>
          <w:b/>
          <w:bCs/>
          <w:color w:val="000000"/>
          <w:sz w:val="22"/>
        </w:rPr>
      </w:pPr>
      <w:r w:rsidRPr="00347D84">
        <w:rPr>
          <w:rFonts w:cs="Arial"/>
          <w:sz w:val="22"/>
        </w:rPr>
        <w:tab/>
      </w:r>
      <w:r w:rsidRPr="00347D84">
        <w:rPr>
          <w:rFonts w:cs="Arial"/>
          <w:b/>
          <w:bCs/>
          <w:color w:val="000000"/>
          <w:sz w:val="22"/>
        </w:rPr>
        <w:t>(c)  Use of Accounting Estimates and Judgments</w:t>
      </w:r>
    </w:p>
    <w:p w:rsidR="00012D47" w:rsidRPr="00347D84" w:rsidRDefault="008E2C4C" w:rsidP="006A6CED">
      <w:pPr>
        <w:keepNext/>
        <w:keepLines/>
        <w:widowControl w:val="0"/>
        <w:spacing w:after="0" w:line="240" w:lineRule="auto"/>
        <w:rPr>
          <w:rFonts w:cs="Arial"/>
          <w:sz w:val="18"/>
          <w:szCs w:val="18"/>
        </w:rPr>
      </w:pPr>
    </w:p>
    <w:p w:rsidR="00012D47" w:rsidRPr="00347D84" w:rsidRDefault="008E2C4C" w:rsidP="006A6CED">
      <w:pPr>
        <w:keepNext/>
        <w:keepLines/>
        <w:widowControl w:val="0"/>
        <w:tabs>
          <w:tab w:val="left" w:pos="29"/>
        </w:tabs>
        <w:spacing w:after="0" w:line="240" w:lineRule="auto"/>
        <w:rPr>
          <w:rFonts w:cs="Arial"/>
          <w:color w:val="000000"/>
          <w:sz w:val="18"/>
          <w:szCs w:val="18"/>
        </w:rPr>
      </w:pPr>
      <w:r w:rsidRPr="00347D84">
        <w:rPr>
          <w:rFonts w:cs="Arial"/>
          <w:color w:val="000000"/>
          <w:sz w:val="18"/>
          <w:szCs w:val="18"/>
        </w:rPr>
        <w:t>The preparation of financial statements requires the trustees to make judgments, estimates and assumptions</w:t>
      </w:r>
      <w:r w:rsidRPr="00347D84">
        <w:rPr>
          <w:rFonts w:cs="Arial"/>
          <w:color w:val="000000"/>
          <w:sz w:val="18"/>
          <w:szCs w:val="18"/>
        </w:rPr>
        <w:t xml:space="preserve"> that affect the application of accounting policies and the reported amounts of assets and liabilities, income and expenses.  The estimates and associated assumptions are based on historical experience and various other factors that are believed to be reas</w:t>
      </w:r>
      <w:r w:rsidRPr="00347D84">
        <w:rPr>
          <w:rFonts w:cs="Arial"/>
          <w:color w:val="000000"/>
          <w:sz w:val="18"/>
          <w:szCs w:val="18"/>
        </w:rPr>
        <w:t>onable under the circumstance, the results of which form the basis of making the judgments.  Actual results may differ from these estimates.</w:t>
      </w:r>
    </w:p>
    <w:p w:rsidR="00012D47" w:rsidRPr="00347D84" w:rsidRDefault="008E2C4C" w:rsidP="006A6CED">
      <w:pPr>
        <w:keepNext/>
        <w:keepLines/>
        <w:widowControl w:val="0"/>
        <w:spacing w:after="0" w:line="240" w:lineRule="auto"/>
        <w:rPr>
          <w:rFonts w:cs="Arial"/>
          <w:sz w:val="18"/>
          <w:szCs w:val="18"/>
        </w:rPr>
      </w:pPr>
    </w:p>
    <w:p w:rsidR="00012D47" w:rsidRPr="00347D84" w:rsidRDefault="008E2C4C" w:rsidP="006A6CED">
      <w:pPr>
        <w:keepNext/>
        <w:keepLines/>
        <w:widowControl w:val="0"/>
        <w:tabs>
          <w:tab w:val="left" w:pos="29"/>
        </w:tabs>
        <w:spacing w:after="0" w:line="240" w:lineRule="auto"/>
        <w:rPr>
          <w:rFonts w:cs="Arial"/>
          <w:color w:val="000000"/>
          <w:sz w:val="18"/>
          <w:szCs w:val="18"/>
        </w:rPr>
      </w:pPr>
      <w:r w:rsidRPr="00347D84">
        <w:rPr>
          <w:rFonts w:cs="Arial"/>
          <w:color w:val="000000"/>
          <w:sz w:val="18"/>
          <w:szCs w:val="18"/>
        </w:rPr>
        <w:t>Estimates and underlying assumptions are reviewed on an ongoing basis. Revisions to accounting estimates are recog</w:t>
      </w:r>
      <w:r w:rsidRPr="00347D84">
        <w:rPr>
          <w:rFonts w:cs="Arial"/>
          <w:color w:val="000000"/>
          <w:sz w:val="18"/>
          <w:szCs w:val="18"/>
        </w:rPr>
        <w:t>nised in the period in which the estimate is revised and in any future period affected.</w:t>
      </w:r>
    </w:p>
    <w:p w:rsidR="00012D47" w:rsidRPr="00347D84" w:rsidRDefault="008E2C4C" w:rsidP="00012D47">
      <w:pPr>
        <w:widowControl w:val="0"/>
        <w:spacing w:after="0" w:line="240" w:lineRule="auto"/>
        <w:rPr>
          <w:rFonts w:cs="Arial"/>
          <w:sz w:val="18"/>
          <w:szCs w:val="18"/>
        </w:rPr>
      </w:pPr>
    </w:p>
    <w:p w:rsidR="00012D47" w:rsidRPr="00347D84" w:rsidRDefault="008E2C4C" w:rsidP="006A6CED">
      <w:pPr>
        <w:keepNext/>
        <w:keepLines/>
        <w:widowControl w:val="0"/>
        <w:tabs>
          <w:tab w:val="left" w:pos="30"/>
          <w:tab w:val="left" w:pos="60"/>
          <w:tab w:val="left" w:pos="372"/>
        </w:tabs>
        <w:spacing w:after="0" w:line="240" w:lineRule="auto"/>
        <w:rPr>
          <w:rFonts w:cs="Arial"/>
          <w:b/>
          <w:bCs/>
          <w:color w:val="000000"/>
          <w:sz w:val="22"/>
        </w:rPr>
      </w:pPr>
      <w:r w:rsidRPr="00347D84">
        <w:rPr>
          <w:rFonts w:cs="Arial"/>
          <w:sz w:val="22"/>
        </w:rPr>
        <w:tab/>
      </w:r>
      <w:r w:rsidRPr="00347D84">
        <w:rPr>
          <w:rFonts w:cs="Arial"/>
          <w:b/>
          <w:bCs/>
          <w:color w:val="000000"/>
          <w:sz w:val="22"/>
        </w:rPr>
        <w:t>(d)</w:t>
      </w:r>
      <w:r w:rsidRPr="00347D84">
        <w:rPr>
          <w:rFonts w:cs="Arial"/>
          <w:b/>
          <w:bCs/>
          <w:color w:val="000000"/>
          <w:sz w:val="22"/>
        </w:rPr>
        <w:tab/>
        <w:t>Cash and Cash Equivalents</w:t>
      </w:r>
    </w:p>
    <w:p w:rsidR="00012D47" w:rsidRPr="00347D84" w:rsidRDefault="008E2C4C" w:rsidP="006A6CED">
      <w:pPr>
        <w:keepNext/>
        <w:keepLines/>
        <w:widowControl w:val="0"/>
        <w:spacing w:after="0" w:line="240" w:lineRule="auto"/>
        <w:rPr>
          <w:rFonts w:cs="Arial"/>
          <w:sz w:val="18"/>
          <w:szCs w:val="18"/>
        </w:rPr>
      </w:pPr>
    </w:p>
    <w:p w:rsidR="00012D47" w:rsidRDefault="008E2C4C" w:rsidP="006A6CED">
      <w:pPr>
        <w:keepNext/>
        <w:keepLines/>
        <w:widowControl w:val="0"/>
        <w:tabs>
          <w:tab w:val="left" w:pos="29"/>
        </w:tabs>
        <w:spacing w:after="0" w:line="240" w:lineRule="auto"/>
        <w:rPr>
          <w:rFonts w:cs="Arial"/>
          <w:color w:val="000000"/>
          <w:sz w:val="18"/>
          <w:szCs w:val="18"/>
        </w:rPr>
      </w:pPr>
      <w:r w:rsidRPr="00347D84">
        <w:rPr>
          <w:rFonts w:cs="Arial"/>
          <w:color w:val="000000"/>
          <w:sz w:val="18"/>
          <w:szCs w:val="18"/>
        </w:rPr>
        <w:t>Cash and cash equivalents include cash on hand, deposits held at call with banks or financial institutions and short</w:t>
      </w:r>
      <w:r w:rsidRPr="00347D84">
        <w:rPr>
          <w:rFonts w:cs="Arial"/>
          <w:color w:val="000000"/>
          <w:sz w:val="18"/>
          <w:szCs w:val="18"/>
        </w:rPr>
        <w:noBreakHyphen/>
        <w:t>term, highly liqui</w:t>
      </w:r>
      <w:r w:rsidRPr="00347D84">
        <w:rPr>
          <w:rFonts w:cs="Arial"/>
          <w:color w:val="000000"/>
          <w:sz w:val="18"/>
          <w:szCs w:val="18"/>
        </w:rPr>
        <w:t>d investments that are readily convertible to cash and are subject to an insignificant risk of change in value.</w:t>
      </w:r>
    </w:p>
    <w:p w:rsidR="00BD6FD9" w:rsidRDefault="008E2C4C" w:rsidP="005905D4">
      <w:pPr>
        <w:keepNext/>
        <w:keepLines/>
        <w:widowControl w:val="0"/>
        <w:tabs>
          <w:tab w:val="left" w:pos="29"/>
        </w:tabs>
        <w:spacing w:after="0" w:line="240" w:lineRule="auto"/>
        <w:rPr>
          <w:rFonts w:cs="Arial"/>
          <w:color w:val="000000"/>
          <w:sz w:val="18"/>
          <w:szCs w:val="18"/>
        </w:rPr>
      </w:pPr>
    </w:p>
    <w:p w:rsidR="00BD6FD9" w:rsidRPr="00347D84" w:rsidRDefault="008E2C4C" w:rsidP="006A6CED">
      <w:pPr>
        <w:keepNext/>
        <w:keepLines/>
        <w:widowControl w:val="0"/>
        <w:tabs>
          <w:tab w:val="left" w:pos="30"/>
          <w:tab w:val="left" w:pos="60"/>
          <w:tab w:val="left" w:pos="372"/>
        </w:tabs>
        <w:spacing w:after="0" w:line="240" w:lineRule="auto"/>
        <w:rPr>
          <w:rFonts w:cs="Arial"/>
          <w:b/>
          <w:bCs/>
          <w:color w:val="000000"/>
          <w:sz w:val="22"/>
        </w:rPr>
      </w:pPr>
      <w:r w:rsidRPr="00347D84">
        <w:rPr>
          <w:rFonts w:cs="Arial"/>
          <w:sz w:val="22"/>
        </w:rPr>
        <w:tab/>
      </w:r>
      <w:r w:rsidRPr="00347D84">
        <w:rPr>
          <w:rFonts w:cs="Arial"/>
          <w:b/>
          <w:bCs/>
          <w:color w:val="000000"/>
          <w:sz w:val="22"/>
        </w:rPr>
        <w:t>(</w:t>
      </w:r>
      <w:r>
        <w:rPr>
          <w:rFonts w:cs="Arial"/>
          <w:b/>
          <w:bCs/>
          <w:color w:val="000000"/>
          <w:sz w:val="22"/>
        </w:rPr>
        <w:t>e)</w:t>
      </w:r>
      <w:r>
        <w:rPr>
          <w:rFonts w:cs="Arial"/>
          <w:b/>
          <w:bCs/>
          <w:color w:val="000000"/>
          <w:sz w:val="22"/>
        </w:rPr>
        <w:tab/>
        <w:t>Foreign Currency</w:t>
      </w:r>
    </w:p>
    <w:p w:rsidR="00BD6FD9" w:rsidRPr="00347D84" w:rsidRDefault="008E2C4C" w:rsidP="006A6CED">
      <w:pPr>
        <w:keepNext/>
        <w:keepLines/>
        <w:widowControl w:val="0"/>
        <w:spacing w:after="0" w:line="240" w:lineRule="auto"/>
        <w:rPr>
          <w:rFonts w:cs="Arial"/>
          <w:sz w:val="18"/>
          <w:szCs w:val="18"/>
        </w:rPr>
      </w:pPr>
    </w:p>
    <w:p w:rsidR="00BD6FD9" w:rsidRDefault="008E2C4C" w:rsidP="006A6CED">
      <w:pPr>
        <w:keepNext/>
        <w:keepLines/>
        <w:widowControl w:val="0"/>
        <w:tabs>
          <w:tab w:val="left" w:pos="29"/>
        </w:tabs>
        <w:spacing w:after="0" w:line="240" w:lineRule="auto"/>
        <w:rPr>
          <w:rFonts w:cs="Arial"/>
          <w:color w:val="000000"/>
          <w:sz w:val="18"/>
          <w:szCs w:val="18"/>
        </w:rPr>
      </w:pPr>
      <w:r>
        <w:rPr>
          <w:rFonts w:cs="Arial"/>
          <w:color w:val="000000"/>
          <w:sz w:val="18"/>
          <w:szCs w:val="18"/>
        </w:rPr>
        <w:t>A</w:t>
      </w:r>
      <w:r>
        <w:rPr>
          <w:rFonts w:cs="Arial"/>
          <w:color w:val="000000"/>
          <w:sz w:val="18"/>
          <w:szCs w:val="18"/>
        </w:rPr>
        <w:t>ny</w:t>
      </w:r>
      <w:r>
        <w:rPr>
          <w:rFonts w:cs="Arial"/>
          <w:color w:val="000000"/>
          <w:sz w:val="18"/>
          <w:szCs w:val="18"/>
        </w:rPr>
        <w:t xml:space="preserve"> foreign currency transactions during the financial year are b</w:t>
      </w:r>
      <w:r>
        <w:rPr>
          <w:rFonts w:cs="Arial"/>
          <w:color w:val="000000"/>
          <w:sz w:val="18"/>
          <w:szCs w:val="18"/>
        </w:rPr>
        <w:t>r</w:t>
      </w:r>
      <w:r>
        <w:rPr>
          <w:rFonts w:cs="Arial"/>
          <w:color w:val="000000"/>
          <w:sz w:val="18"/>
          <w:szCs w:val="18"/>
        </w:rPr>
        <w:t xml:space="preserve">ought to account using the exchange rate in effect at </w:t>
      </w:r>
      <w:r>
        <w:rPr>
          <w:rFonts w:cs="Arial"/>
          <w:color w:val="000000"/>
          <w:sz w:val="18"/>
          <w:szCs w:val="18"/>
        </w:rPr>
        <w:t>the date of the transaction. Foreign currency monetary items at reporting date are translated at the exchange rate existing at reporting date. Exchange differences are recognised in the operating statement in the period in which they arise.</w:t>
      </w:r>
    </w:p>
    <w:p w:rsidR="00BD6FD9" w:rsidRPr="00347D84" w:rsidRDefault="008E2C4C" w:rsidP="0020520C">
      <w:pPr>
        <w:widowControl w:val="0"/>
        <w:tabs>
          <w:tab w:val="left" w:pos="29"/>
        </w:tabs>
        <w:spacing w:after="0" w:line="240" w:lineRule="auto"/>
        <w:rPr>
          <w:rFonts w:cs="Arial"/>
          <w:color w:val="000000"/>
          <w:sz w:val="18"/>
          <w:szCs w:val="18"/>
        </w:rPr>
      </w:pPr>
    </w:p>
    <w:p w:rsidR="00012D47" w:rsidRPr="00347D84" w:rsidRDefault="008E2C4C" w:rsidP="00CC0C54">
      <w:pPr>
        <w:keepNext/>
        <w:keepLines/>
        <w:widowControl w:val="0"/>
        <w:tabs>
          <w:tab w:val="left" w:pos="29"/>
          <w:tab w:val="left" w:pos="372"/>
        </w:tabs>
        <w:spacing w:after="0" w:line="240" w:lineRule="auto"/>
        <w:rPr>
          <w:rFonts w:cs="Arial"/>
          <w:b/>
          <w:bCs/>
          <w:color w:val="000000"/>
          <w:sz w:val="22"/>
        </w:rPr>
      </w:pPr>
      <w:r w:rsidRPr="00347D84">
        <w:rPr>
          <w:rFonts w:cs="Arial"/>
          <w:b/>
          <w:bCs/>
          <w:color w:val="000000"/>
          <w:sz w:val="22"/>
        </w:rPr>
        <w:t>(</w:t>
      </w:r>
      <w:r>
        <w:rPr>
          <w:rFonts w:cs="Arial"/>
          <w:b/>
          <w:bCs/>
          <w:color w:val="000000"/>
          <w:sz w:val="22"/>
        </w:rPr>
        <w:t>f</w:t>
      </w:r>
      <w:r w:rsidRPr="00347D84">
        <w:rPr>
          <w:rFonts w:cs="Arial"/>
          <w:b/>
          <w:bCs/>
          <w:color w:val="000000"/>
          <w:sz w:val="22"/>
        </w:rPr>
        <w:t>)</w:t>
      </w:r>
      <w:r w:rsidRPr="00347D84">
        <w:rPr>
          <w:rFonts w:cs="Arial"/>
          <w:b/>
          <w:bCs/>
          <w:color w:val="000000"/>
          <w:sz w:val="22"/>
        </w:rPr>
        <w:tab/>
      </w:r>
      <w:r w:rsidRPr="00347D84">
        <w:rPr>
          <w:rFonts w:cs="Arial"/>
          <w:b/>
          <w:bCs/>
          <w:color w:val="000000"/>
          <w:sz w:val="22"/>
        </w:rPr>
        <w:t xml:space="preserve">Valuation of Assets </w:t>
      </w:r>
    </w:p>
    <w:p w:rsidR="00012D47" w:rsidRPr="00347D84" w:rsidRDefault="008E2C4C" w:rsidP="00CC0C54">
      <w:pPr>
        <w:keepNext/>
        <w:keepLines/>
        <w:widowControl w:val="0"/>
        <w:spacing w:after="0" w:line="240" w:lineRule="auto"/>
        <w:rPr>
          <w:rFonts w:cs="Arial"/>
          <w:sz w:val="18"/>
          <w:szCs w:val="18"/>
        </w:rPr>
      </w:pPr>
    </w:p>
    <w:p w:rsidR="00012D47" w:rsidRPr="00347D84" w:rsidRDefault="008E2C4C" w:rsidP="00CC0C54">
      <w:pPr>
        <w:keepNext/>
        <w:keepLines/>
        <w:widowControl w:val="0"/>
        <w:tabs>
          <w:tab w:val="left" w:pos="29"/>
        </w:tabs>
        <w:spacing w:after="0" w:line="240" w:lineRule="auto"/>
        <w:rPr>
          <w:rFonts w:cs="Arial"/>
          <w:i/>
          <w:iCs/>
          <w:color w:val="000000"/>
          <w:sz w:val="18"/>
          <w:szCs w:val="18"/>
        </w:rPr>
      </w:pPr>
      <w:r w:rsidRPr="00347D84">
        <w:rPr>
          <w:rFonts w:cs="Arial"/>
          <w:sz w:val="18"/>
          <w:szCs w:val="18"/>
        </w:rPr>
        <w:tab/>
      </w:r>
      <w:r w:rsidRPr="00347D84">
        <w:rPr>
          <w:rFonts w:cs="Arial"/>
          <w:i/>
          <w:iCs/>
          <w:color w:val="000000"/>
          <w:sz w:val="18"/>
          <w:szCs w:val="18"/>
        </w:rPr>
        <w:t>Investment</w:t>
      </w:r>
    </w:p>
    <w:p w:rsidR="00012D47" w:rsidRPr="00347D84" w:rsidRDefault="008E2C4C" w:rsidP="00CC0C54">
      <w:pPr>
        <w:keepNext/>
        <w:keepLines/>
        <w:widowControl w:val="0"/>
        <w:spacing w:after="0" w:line="240" w:lineRule="auto"/>
        <w:rPr>
          <w:rFonts w:cs="Arial"/>
          <w:sz w:val="18"/>
          <w:szCs w:val="18"/>
        </w:rPr>
      </w:pPr>
    </w:p>
    <w:p w:rsidR="00012D47" w:rsidRPr="00347D84" w:rsidRDefault="008E2C4C" w:rsidP="00CC0C54">
      <w:pPr>
        <w:keepNext/>
        <w:keepLines/>
        <w:widowControl w:val="0"/>
        <w:tabs>
          <w:tab w:val="left" w:pos="29"/>
        </w:tabs>
        <w:spacing w:after="0" w:line="240" w:lineRule="auto"/>
        <w:rPr>
          <w:rFonts w:cs="Arial"/>
          <w:color w:val="000000"/>
          <w:sz w:val="18"/>
          <w:szCs w:val="18"/>
        </w:rPr>
      </w:pPr>
      <w:r w:rsidRPr="00347D84">
        <w:rPr>
          <w:rFonts w:cs="Arial"/>
          <w:color w:val="000000"/>
          <w:sz w:val="18"/>
          <w:szCs w:val="18"/>
        </w:rPr>
        <w:t xml:space="preserve">An investment is initially recognised when as a result of past transactions or events, the Fund controls the future economic benefits expected to flow from the asset. </w:t>
      </w:r>
    </w:p>
    <w:p w:rsidR="00012D47" w:rsidRPr="00347D84" w:rsidRDefault="008E2C4C" w:rsidP="00CC0C54">
      <w:pPr>
        <w:widowControl w:val="0"/>
        <w:spacing w:after="0" w:line="240" w:lineRule="auto"/>
        <w:rPr>
          <w:rFonts w:cs="Arial"/>
          <w:sz w:val="18"/>
          <w:szCs w:val="18"/>
        </w:rPr>
      </w:pPr>
    </w:p>
    <w:p w:rsidR="00012D47" w:rsidRPr="00347D84" w:rsidRDefault="008E2C4C" w:rsidP="00CC0C54">
      <w:pPr>
        <w:keepLines/>
        <w:widowControl w:val="0"/>
        <w:tabs>
          <w:tab w:val="left" w:pos="29"/>
        </w:tabs>
        <w:spacing w:after="0" w:line="240" w:lineRule="auto"/>
        <w:rPr>
          <w:rFonts w:cs="Arial"/>
          <w:color w:val="000000"/>
          <w:sz w:val="18"/>
          <w:szCs w:val="18"/>
        </w:rPr>
      </w:pPr>
      <w:r w:rsidRPr="00347D84">
        <w:rPr>
          <w:rFonts w:cs="Arial"/>
          <w:color w:val="000000"/>
          <w:sz w:val="18"/>
          <w:szCs w:val="18"/>
        </w:rPr>
        <w:t xml:space="preserve">The investment assets are firstly recorded at cost, </w:t>
      </w:r>
      <w:r w:rsidRPr="00347D84">
        <w:rPr>
          <w:rFonts w:cs="Arial"/>
          <w:color w:val="000000"/>
          <w:sz w:val="18"/>
          <w:szCs w:val="18"/>
        </w:rPr>
        <w:t xml:space="preserve">being the fair value of the consideration given. After initial recognition, they are measured at market value. Gains or losses arising from changes in market value are recognised on the Operating Statement in the periods in which they occur. </w:t>
      </w:r>
    </w:p>
    <w:p w:rsidR="00012D47" w:rsidRPr="00347D84" w:rsidRDefault="008E2C4C" w:rsidP="00CC0C54">
      <w:pPr>
        <w:widowControl w:val="0"/>
        <w:tabs>
          <w:tab w:val="left" w:pos="29"/>
        </w:tabs>
        <w:spacing w:after="0" w:line="240" w:lineRule="auto"/>
        <w:rPr>
          <w:rFonts w:cs="Arial"/>
          <w:color w:val="000000"/>
          <w:sz w:val="18"/>
          <w:szCs w:val="18"/>
        </w:rPr>
      </w:pPr>
    </w:p>
    <w:p w:rsidR="00012D47" w:rsidRPr="00347D84" w:rsidRDefault="008E2C4C" w:rsidP="00455452">
      <w:pPr>
        <w:keepNext/>
        <w:keepLines/>
        <w:widowControl w:val="0"/>
        <w:tabs>
          <w:tab w:val="left" w:pos="29"/>
        </w:tabs>
        <w:spacing w:after="0" w:line="240" w:lineRule="auto"/>
        <w:rPr>
          <w:rFonts w:cs="Arial"/>
          <w:color w:val="000000"/>
          <w:sz w:val="18"/>
          <w:szCs w:val="18"/>
        </w:rPr>
      </w:pPr>
      <w:r w:rsidRPr="00347D84">
        <w:rPr>
          <w:rFonts w:cs="Arial"/>
          <w:color w:val="000000"/>
          <w:sz w:val="18"/>
          <w:szCs w:val="18"/>
        </w:rPr>
        <w:t>Market value</w:t>
      </w:r>
      <w:r w:rsidRPr="00347D84">
        <w:rPr>
          <w:rFonts w:cs="Arial"/>
          <w:color w:val="000000"/>
          <w:sz w:val="18"/>
          <w:szCs w:val="18"/>
        </w:rPr>
        <w:t xml:space="preserve"> as defined in s10 of </w:t>
      </w:r>
      <w:r w:rsidRPr="00347D84">
        <w:rPr>
          <w:rFonts w:cs="Arial"/>
          <w:i/>
          <w:iCs/>
          <w:color w:val="000000"/>
          <w:sz w:val="18"/>
          <w:szCs w:val="18"/>
        </w:rPr>
        <w:t>SISA 1993</w:t>
      </w:r>
      <w:r w:rsidRPr="00347D84">
        <w:rPr>
          <w:rFonts w:cs="Arial"/>
          <w:color w:val="000000"/>
          <w:sz w:val="18"/>
          <w:szCs w:val="18"/>
        </w:rPr>
        <w:t>, in relation to an asset, means the amount that a willing buyer of the asset could reasonably be expected to pay to acquire the asset from a willing seller if the following assumptions were made:</w:t>
      </w:r>
    </w:p>
    <w:p w:rsidR="00012D47" w:rsidRPr="00347D84" w:rsidRDefault="008E2C4C" w:rsidP="00455452">
      <w:pPr>
        <w:pStyle w:val="ListParagraph"/>
        <w:keepNext/>
        <w:keepLines/>
        <w:widowControl w:val="0"/>
        <w:numPr>
          <w:ilvl w:val="0"/>
          <w:numId w:val="3"/>
        </w:numPr>
        <w:tabs>
          <w:tab w:val="left" w:pos="567"/>
        </w:tabs>
        <w:spacing w:after="0" w:line="240" w:lineRule="auto"/>
        <w:ind w:left="476" w:hanging="238"/>
        <w:rPr>
          <w:rFonts w:cs="Arial"/>
          <w:color w:val="000000"/>
          <w:sz w:val="18"/>
          <w:szCs w:val="18"/>
        </w:rPr>
      </w:pPr>
      <w:r w:rsidRPr="00347D84">
        <w:rPr>
          <w:rFonts w:cs="Arial"/>
          <w:color w:val="000000"/>
          <w:sz w:val="18"/>
          <w:szCs w:val="18"/>
        </w:rPr>
        <w:t>that the buyer and the selle</w:t>
      </w:r>
      <w:r w:rsidRPr="00347D84">
        <w:rPr>
          <w:rFonts w:cs="Arial"/>
          <w:color w:val="000000"/>
          <w:sz w:val="18"/>
          <w:szCs w:val="18"/>
        </w:rPr>
        <w:t>r dealt with each other at arm’s length in relation to the sale;</w:t>
      </w:r>
    </w:p>
    <w:p w:rsidR="00012D47" w:rsidRPr="00347D84" w:rsidRDefault="008E2C4C" w:rsidP="00455452">
      <w:pPr>
        <w:pStyle w:val="ListParagraph"/>
        <w:keepNext/>
        <w:keepLines/>
        <w:widowControl w:val="0"/>
        <w:numPr>
          <w:ilvl w:val="0"/>
          <w:numId w:val="3"/>
        </w:numPr>
        <w:tabs>
          <w:tab w:val="left" w:pos="567"/>
        </w:tabs>
        <w:spacing w:after="0" w:line="240" w:lineRule="auto"/>
        <w:ind w:left="476" w:hanging="238"/>
        <w:rPr>
          <w:rFonts w:cs="Arial"/>
          <w:color w:val="000000"/>
          <w:sz w:val="18"/>
          <w:szCs w:val="18"/>
        </w:rPr>
      </w:pPr>
      <w:r w:rsidRPr="00347D84">
        <w:rPr>
          <w:rFonts w:cs="Arial"/>
          <w:color w:val="000000"/>
          <w:sz w:val="18"/>
          <w:szCs w:val="18"/>
        </w:rPr>
        <w:t xml:space="preserve">that the sale occurred after proper marketing of the asset; </w:t>
      </w:r>
    </w:p>
    <w:p w:rsidR="00012D47" w:rsidRPr="00347D84" w:rsidRDefault="008E2C4C" w:rsidP="00455452">
      <w:pPr>
        <w:pStyle w:val="ListParagraph"/>
        <w:keepNext/>
        <w:keepLines/>
        <w:widowControl w:val="0"/>
        <w:numPr>
          <w:ilvl w:val="0"/>
          <w:numId w:val="3"/>
        </w:numPr>
        <w:tabs>
          <w:tab w:val="left" w:pos="567"/>
        </w:tabs>
        <w:spacing w:after="0" w:line="240" w:lineRule="auto"/>
        <w:ind w:left="476" w:hanging="238"/>
        <w:rPr>
          <w:rFonts w:cs="Arial"/>
          <w:color w:val="000000"/>
          <w:sz w:val="18"/>
          <w:szCs w:val="18"/>
        </w:rPr>
      </w:pPr>
      <w:r w:rsidRPr="00347D84">
        <w:rPr>
          <w:rFonts w:cs="Arial"/>
          <w:color w:val="000000"/>
          <w:sz w:val="18"/>
          <w:szCs w:val="18"/>
        </w:rPr>
        <w:t xml:space="preserve">that the buyer and the seller acted knowledgeably and prudentially in relation to the sale. </w:t>
      </w:r>
    </w:p>
    <w:p w:rsidR="00012D47" w:rsidRPr="00347D84" w:rsidRDefault="008E2C4C" w:rsidP="00455452">
      <w:pPr>
        <w:keepNext/>
        <w:keepLines/>
        <w:widowControl w:val="0"/>
        <w:tabs>
          <w:tab w:val="left" w:pos="388"/>
          <w:tab w:val="left" w:pos="418"/>
          <w:tab w:val="left" w:pos="732"/>
        </w:tabs>
        <w:spacing w:after="0" w:line="240" w:lineRule="auto"/>
        <w:rPr>
          <w:rFonts w:cs="Arial"/>
          <w:color w:val="000000"/>
          <w:sz w:val="18"/>
          <w:szCs w:val="18"/>
        </w:rPr>
      </w:pPr>
      <w:r w:rsidRPr="00347D84">
        <w:rPr>
          <w:rFonts w:cs="Arial"/>
          <w:color w:val="000000"/>
          <w:sz w:val="18"/>
          <w:szCs w:val="18"/>
        </w:rPr>
        <w:t xml:space="preserve">As disposal costs are generally </w:t>
      </w:r>
      <w:r w:rsidRPr="00347D84">
        <w:rPr>
          <w:rFonts w:cs="Arial"/>
          <w:color w:val="000000"/>
          <w:sz w:val="18"/>
          <w:szCs w:val="18"/>
        </w:rPr>
        <w:t>immaterial unless otherwise stated, market value approximates fair value.</w:t>
      </w:r>
    </w:p>
    <w:p w:rsidR="00012D47" w:rsidRPr="00347D84" w:rsidRDefault="008E2C4C" w:rsidP="00CC0C54">
      <w:pPr>
        <w:widowControl w:val="0"/>
        <w:tabs>
          <w:tab w:val="left" w:pos="29"/>
        </w:tabs>
        <w:spacing w:after="0" w:line="240" w:lineRule="auto"/>
        <w:rPr>
          <w:rFonts w:cs="Arial"/>
          <w:sz w:val="18"/>
          <w:szCs w:val="18"/>
        </w:rPr>
      </w:pPr>
    </w:p>
    <w:p w:rsidR="00012D47" w:rsidRPr="00347D84" w:rsidRDefault="008E2C4C" w:rsidP="00455452">
      <w:pPr>
        <w:keepNext/>
        <w:keepLines/>
        <w:widowControl w:val="0"/>
        <w:tabs>
          <w:tab w:val="left" w:pos="29"/>
        </w:tabs>
        <w:spacing w:after="0" w:line="240" w:lineRule="auto"/>
        <w:rPr>
          <w:rFonts w:cs="Arial"/>
          <w:color w:val="000000"/>
          <w:sz w:val="18"/>
          <w:szCs w:val="18"/>
        </w:rPr>
      </w:pPr>
      <w:r w:rsidRPr="00347D84">
        <w:rPr>
          <w:rFonts w:cs="Arial"/>
          <w:color w:val="000000"/>
          <w:sz w:val="18"/>
          <w:szCs w:val="18"/>
        </w:rPr>
        <w:lastRenderedPageBreak/>
        <w:t>Market values for various types of investment have been determined as follows:</w:t>
      </w:r>
    </w:p>
    <w:p w:rsidR="00012D47" w:rsidRPr="00347D84" w:rsidRDefault="008E2C4C" w:rsidP="00455452">
      <w:pPr>
        <w:pStyle w:val="ListParagraph"/>
        <w:keepNext/>
        <w:keepLines/>
        <w:widowControl w:val="0"/>
        <w:numPr>
          <w:ilvl w:val="0"/>
          <w:numId w:val="4"/>
        </w:numPr>
        <w:tabs>
          <w:tab w:val="left" w:pos="567"/>
          <w:tab w:val="left" w:pos="732"/>
        </w:tabs>
        <w:spacing w:after="0" w:line="240" w:lineRule="auto"/>
        <w:ind w:left="476" w:hanging="238"/>
        <w:rPr>
          <w:rFonts w:cs="Arial"/>
          <w:color w:val="000000"/>
          <w:sz w:val="18"/>
          <w:szCs w:val="18"/>
        </w:rPr>
      </w:pPr>
      <w:r w:rsidRPr="00347D84">
        <w:rPr>
          <w:rFonts w:cs="Arial"/>
          <w:color w:val="000000"/>
          <w:sz w:val="18"/>
          <w:szCs w:val="18"/>
        </w:rPr>
        <w:t>listed securities, government and other fixed interest securities for which there is a readily availab</w:t>
      </w:r>
      <w:r w:rsidRPr="00347D84">
        <w:rPr>
          <w:rFonts w:cs="Arial"/>
          <w:color w:val="000000"/>
          <w:sz w:val="18"/>
          <w:szCs w:val="18"/>
        </w:rPr>
        <w:t>le market quotation, the valuation is recorded as the last quoted sale price as at the close</w:t>
      </w:r>
      <w:r>
        <w:rPr>
          <w:rFonts w:cs="Arial"/>
          <w:color w:val="000000"/>
          <w:sz w:val="18"/>
          <w:szCs w:val="18"/>
        </w:rPr>
        <w:t xml:space="preserve"> of business on reporting date. If the listed securities are foreign, they are also converted to Australian dollars using the exchange rate at the close of business</w:t>
      </w:r>
      <w:r>
        <w:rPr>
          <w:rFonts w:cs="Arial"/>
          <w:color w:val="000000"/>
          <w:sz w:val="18"/>
          <w:szCs w:val="18"/>
        </w:rPr>
        <w:t xml:space="preserve"> on the reporting date;</w:t>
      </w:r>
    </w:p>
    <w:p w:rsidR="00012D47" w:rsidRPr="00347D84" w:rsidRDefault="008E2C4C" w:rsidP="00455452">
      <w:pPr>
        <w:pStyle w:val="ListParagraph"/>
        <w:keepNext/>
        <w:keepLines/>
        <w:widowControl w:val="0"/>
        <w:numPr>
          <w:ilvl w:val="0"/>
          <w:numId w:val="4"/>
        </w:numPr>
        <w:tabs>
          <w:tab w:val="left" w:pos="567"/>
          <w:tab w:val="left" w:pos="732"/>
        </w:tabs>
        <w:spacing w:after="0" w:line="240" w:lineRule="auto"/>
        <w:ind w:left="476" w:hanging="238"/>
        <w:rPr>
          <w:rFonts w:cs="Arial"/>
          <w:color w:val="000000"/>
          <w:sz w:val="18"/>
          <w:szCs w:val="18"/>
        </w:rPr>
      </w:pPr>
      <w:r w:rsidRPr="00347D84">
        <w:rPr>
          <w:rFonts w:cs="Arial"/>
          <w:color w:val="000000"/>
          <w:sz w:val="18"/>
          <w:szCs w:val="18"/>
        </w:rPr>
        <w:t>unit trusts and managed funds are stated by reference to the unit redemption price quoted by the fund manager at the end of the reporting period;</w:t>
      </w:r>
    </w:p>
    <w:p w:rsidR="00012D47" w:rsidRPr="00347D84" w:rsidRDefault="008E2C4C" w:rsidP="00455452">
      <w:pPr>
        <w:pStyle w:val="ListParagraph"/>
        <w:keepNext/>
        <w:keepLines/>
        <w:widowControl w:val="0"/>
        <w:numPr>
          <w:ilvl w:val="0"/>
          <w:numId w:val="4"/>
        </w:numPr>
        <w:tabs>
          <w:tab w:val="left" w:pos="388"/>
          <w:tab w:val="left" w:pos="567"/>
          <w:tab w:val="left" w:pos="732"/>
        </w:tabs>
        <w:spacing w:after="0" w:line="240" w:lineRule="auto"/>
        <w:ind w:left="476" w:hanging="238"/>
        <w:rPr>
          <w:rFonts w:cs="Arial"/>
          <w:color w:val="000000"/>
          <w:sz w:val="18"/>
          <w:szCs w:val="18"/>
        </w:rPr>
      </w:pPr>
      <w:r w:rsidRPr="00347D84">
        <w:rPr>
          <w:rFonts w:cs="Arial"/>
          <w:color w:val="000000"/>
          <w:sz w:val="18"/>
          <w:szCs w:val="18"/>
        </w:rPr>
        <w:t>unlisted investments are stated at the Trustees’ valuation based on estimated market value at balance date; or where necessary, upon external valuers’ expert opinions;</w:t>
      </w:r>
    </w:p>
    <w:p w:rsidR="00012D47" w:rsidRPr="00347D84" w:rsidRDefault="008E2C4C" w:rsidP="00455452">
      <w:pPr>
        <w:pStyle w:val="ListParagraph"/>
        <w:keepNext/>
        <w:keepLines/>
        <w:widowControl w:val="0"/>
        <w:numPr>
          <w:ilvl w:val="0"/>
          <w:numId w:val="4"/>
        </w:numPr>
        <w:tabs>
          <w:tab w:val="left" w:pos="388"/>
          <w:tab w:val="left" w:pos="567"/>
          <w:tab w:val="left" w:pos="732"/>
        </w:tabs>
        <w:spacing w:after="0" w:line="240" w:lineRule="auto"/>
        <w:ind w:left="476" w:hanging="238"/>
        <w:rPr>
          <w:rFonts w:cs="Arial"/>
          <w:color w:val="000000"/>
          <w:sz w:val="18"/>
          <w:szCs w:val="18"/>
        </w:rPr>
      </w:pPr>
      <w:r w:rsidRPr="00347D84">
        <w:rPr>
          <w:rFonts w:cs="Arial"/>
          <w:color w:val="000000"/>
          <w:sz w:val="18"/>
          <w:szCs w:val="18"/>
        </w:rPr>
        <w:t>Investment properties are carried at market value and are held for the purpose of genera</w:t>
      </w:r>
      <w:r w:rsidRPr="00347D84">
        <w:rPr>
          <w:rFonts w:cs="Arial"/>
          <w:color w:val="000000"/>
          <w:sz w:val="18"/>
          <w:szCs w:val="18"/>
        </w:rPr>
        <w:t>ting long</w:t>
      </w:r>
      <w:r w:rsidRPr="00347D84">
        <w:rPr>
          <w:rFonts w:cs="Arial"/>
          <w:color w:val="000000"/>
          <w:sz w:val="18"/>
          <w:szCs w:val="18"/>
        </w:rPr>
        <w:noBreakHyphen/>
        <w:t xml:space="preserve">term rental yields and capital appreciation. The Trustees give consideration to the value of the investment property each financial year and revalue when a significant event occurs or when deemed appropriate. Where an external valuation has been </w:t>
      </w:r>
      <w:r w:rsidRPr="00347D84">
        <w:rPr>
          <w:rFonts w:cs="Arial"/>
          <w:color w:val="000000"/>
          <w:sz w:val="18"/>
          <w:szCs w:val="18"/>
        </w:rPr>
        <w:t>obtained, the valuation is based on objective and supportable data and has been carried out by a property valuation service provider or qualified independent valuer as appropriate.</w:t>
      </w:r>
    </w:p>
    <w:p w:rsidR="00012D47" w:rsidRPr="00347D84" w:rsidRDefault="008E2C4C" w:rsidP="00CC0C54">
      <w:pPr>
        <w:widowControl w:val="0"/>
        <w:spacing w:after="0" w:line="240" w:lineRule="auto"/>
        <w:ind w:left="476" w:hanging="238"/>
        <w:rPr>
          <w:rFonts w:cs="Arial"/>
          <w:sz w:val="18"/>
          <w:szCs w:val="18"/>
        </w:rPr>
      </w:pPr>
    </w:p>
    <w:p w:rsidR="00012D47" w:rsidRPr="00347D84" w:rsidRDefault="008E2C4C" w:rsidP="00CC0C54">
      <w:pPr>
        <w:keepLines/>
        <w:widowControl w:val="0"/>
        <w:tabs>
          <w:tab w:val="left" w:pos="29"/>
        </w:tabs>
        <w:spacing w:after="0" w:line="240" w:lineRule="auto"/>
        <w:rPr>
          <w:rFonts w:cs="Arial"/>
          <w:i/>
          <w:iCs/>
          <w:color w:val="000000"/>
          <w:sz w:val="18"/>
          <w:szCs w:val="18"/>
        </w:rPr>
      </w:pPr>
      <w:r w:rsidRPr="00347D84">
        <w:rPr>
          <w:rFonts w:cs="Arial"/>
          <w:i/>
          <w:iCs/>
          <w:color w:val="000000"/>
          <w:sz w:val="18"/>
          <w:szCs w:val="18"/>
        </w:rPr>
        <w:t>Financial Liabilities</w:t>
      </w:r>
    </w:p>
    <w:p w:rsidR="00012D47" w:rsidRPr="00347D84" w:rsidRDefault="008E2C4C" w:rsidP="00CC0C54">
      <w:pPr>
        <w:keepLines/>
        <w:widowControl w:val="0"/>
        <w:spacing w:after="0" w:line="240" w:lineRule="auto"/>
        <w:rPr>
          <w:rFonts w:cs="Arial"/>
          <w:sz w:val="18"/>
          <w:szCs w:val="18"/>
        </w:rPr>
      </w:pPr>
    </w:p>
    <w:p w:rsidR="00012D47" w:rsidRPr="00347D84" w:rsidRDefault="008E2C4C" w:rsidP="00CC0C54">
      <w:pPr>
        <w:keepLines/>
        <w:widowControl w:val="0"/>
        <w:tabs>
          <w:tab w:val="left" w:pos="29"/>
        </w:tabs>
        <w:spacing w:after="0" w:line="240" w:lineRule="auto"/>
        <w:rPr>
          <w:rFonts w:cs="Arial"/>
          <w:color w:val="000000"/>
          <w:sz w:val="18"/>
          <w:szCs w:val="18"/>
        </w:rPr>
      </w:pPr>
      <w:r w:rsidRPr="00347D84">
        <w:rPr>
          <w:rFonts w:cs="Arial"/>
          <w:color w:val="000000"/>
          <w:sz w:val="18"/>
          <w:szCs w:val="18"/>
        </w:rPr>
        <w:t xml:space="preserve">The Fund initially recognises a financial liability on the date it becomes a party to the contractual provisions of the instrument. </w:t>
      </w:r>
    </w:p>
    <w:p w:rsidR="00012D47" w:rsidRPr="00347D84" w:rsidRDefault="008E2C4C" w:rsidP="00CC0C54">
      <w:pPr>
        <w:keepLines/>
        <w:widowControl w:val="0"/>
        <w:spacing w:after="0" w:line="240" w:lineRule="auto"/>
        <w:rPr>
          <w:rFonts w:cs="Arial"/>
          <w:sz w:val="18"/>
          <w:szCs w:val="18"/>
        </w:rPr>
      </w:pPr>
    </w:p>
    <w:p w:rsidR="00012D47" w:rsidRPr="00347D84" w:rsidRDefault="008E2C4C" w:rsidP="00CC0C54">
      <w:pPr>
        <w:keepLines/>
        <w:widowControl w:val="0"/>
        <w:tabs>
          <w:tab w:val="left" w:pos="29"/>
        </w:tabs>
        <w:spacing w:after="0" w:line="240" w:lineRule="auto"/>
        <w:rPr>
          <w:rFonts w:cs="Arial"/>
          <w:color w:val="000000"/>
          <w:sz w:val="18"/>
          <w:szCs w:val="18"/>
        </w:rPr>
      </w:pPr>
      <w:r w:rsidRPr="00347D84">
        <w:rPr>
          <w:rFonts w:cs="Arial"/>
          <w:color w:val="000000"/>
          <w:sz w:val="18"/>
          <w:szCs w:val="18"/>
        </w:rPr>
        <w:t>Financial liabilities including credit balances of hedging instruments and derivatives are measured at market values as at</w:t>
      </w:r>
      <w:r w:rsidRPr="00347D84">
        <w:rPr>
          <w:rFonts w:cs="Arial"/>
          <w:color w:val="000000"/>
          <w:sz w:val="18"/>
          <w:szCs w:val="18"/>
        </w:rPr>
        <w:t xml:space="preserve"> the reporting date. Any change in market values of the financial liabilities since the beginning of the reporting period shall be included in the profit or loss for the reporting period. As disposal costs are generally immaterial, unless otherwise stated,</w:t>
      </w:r>
      <w:r w:rsidRPr="00347D84">
        <w:rPr>
          <w:rFonts w:cs="Arial"/>
          <w:color w:val="000000"/>
          <w:sz w:val="18"/>
          <w:szCs w:val="18"/>
        </w:rPr>
        <w:t xml:space="preserve"> market value approximates fair value.</w:t>
      </w:r>
    </w:p>
    <w:p w:rsidR="00012D47" w:rsidRPr="00347D84" w:rsidRDefault="008E2C4C" w:rsidP="00CC0C54">
      <w:pPr>
        <w:widowControl w:val="0"/>
        <w:spacing w:after="0" w:line="240" w:lineRule="auto"/>
        <w:rPr>
          <w:rFonts w:cs="Arial"/>
          <w:sz w:val="18"/>
          <w:szCs w:val="18"/>
        </w:rPr>
      </w:pPr>
    </w:p>
    <w:p w:rsidR="00012D47" w:rsidRPr="00347D84" w:rsidRDefault="008E2C4C" w:rsidP="00CC0C54">
      <w:pPr>
        <w:keepLines/>
        <w:widowControl w:val="0"/>
        <w:tabs>
          <w:tab w:val="left" w:pos="29"/>
        </w:tabs>
        <w:spacing w:after="0" w:line="240" w:lineRule="auto"/>
        <w:rPr>
          <w:rFonts w:cs="Arial"/>
          <w:i/>
          <w:iCs/>
          <w:color w:val="000000"/>
          <w:sz w:val="18"/>
          <w:szCs w:val="18"/>
        </w:rPr>
      </w:pPr>
      <w:r w:rsidRPr="00347D84">
        <w:rPr>
          <w:rFonts w:cs="Arial"/>
          <w:i/>
          <w:iCs/>
          <w:color w:val="000000"/>
          <w:sz w:val="18"/>
          <w:szCs w:val="18"/>
        </w:rPr>
        <w:t>Receivables and Payables</w:t>
      </w:r>
    </w:p>
    <w:p w:rsidR="00012D47" w:rsidRPr="00347D84" w:rsidRDefault="008E2C4C" w:rsidP="00CC0C54">
      <w:pPr>
        <w:keepLines/>
        <w:widowControl w:val="0"/>
        <w:spacing w:after="0" w:line="240" w:lineRule="auto"/>
        <w:rPr>
          <w:rFonts w:cs="Arial"/>
          <w:sz w:val="18"/>
          <w:szCs w:val="18"/>
        </w:rPr>
      </w:pPr>
    </w:p>
    <w:p w:rsidR="00012D47" w:rsidRPr="00347D84" w:rsidRDefault="008E2C4C" w:rsidP="00CC0C54">
      <w:pPr>
        <w:keepLines/>
        <w:widowControl w:val="0"/>
        <w:tabs>
          <w:tab w:val="left" w:pos="29"/>
        </w:tabs>
        <w:spacing w:after="0" w:line="240" w:lineRule="auto"/>
        <w:rPr>
          <w:rFonts w:cs="Arial"/>
          <w:color w:val="000000"/>
          <w:sz w:val="18"/>
          <w:szCs w:val="18"/>
        </w:rPr>
      </w:pPr>
      <w:r w:rsidRPr="00347D84">
        <w:rPr>
          <w:rFonts w:cs="Arial"/>
          <w:color w:val="000000"/>
          <w:sz w:val="18"/>
          <w:szCs w:val="18"/>
        </w:rPr>
        <w:t>Current assets such as accounts receivable, which are expected to be recovered within twelve months after the reporting period, are carried at nominal amounts which approximate the fair valu</w:t>
      </w:r>
      <w:r w:rsidRPr="00347D84">
        <w:rPr>
          <w:rFonts w:cs="Arial"/>
          <w:color w:val="000000"/>
          <w:sz w:val="18"/>
          <w:szCs w:val="18"/>
        </w:rPr>
        <w:t xml:space="preserve">es. </w:t>
      </w:r>
    </w:p>
    <w:p w:rsidR="00012D47" w:rsidRPr="00347D84" w:rsidRDefault="008E2C4C" w:rsidP="00CC0C54">
      <w:pPr>
        <w:keepLines/>
        <w:widowControl w:val="0"/>
        <w:spacing w:after="0" w:line="240" w:lineRule="auto"/>
        <w:rPr>
          <w:rFonts w:cs="Arial"/>
          <w:sz w:val="18"/>
          <w:szCs w:val="18"/>
        </w:rPr>
      </w:pPr>
    </w:p>
    <w:p w:rsidR="00012D47" w:rsidRPr="00347D84" w:rsidRDefault="008E2C4C" w:rsidP="00CC0C54">
      <w:pPr>
        <w:keepLines/>
        <w:widowControl w:val="0"/>
        <w:tabs>
          <w:tab w:val="left" w:pos="29"/>
        </w:tabs>
        <w:spacing w:after="0" w:line="240" w:lineRule="auto"/>
        <w:rPr>
          <w:rFonts w:cs="Arial"/>
          <w:sz w:val="18"/>
          <w:szCs w:val="18"/>
        </w:rPr>
      </w:pPr>
      <w:r w:rsidRPr="00347D84">
        <w:rPr>
          <w:rFonts w:cs="Arial"/>
          <w:color w:val="000000"/>
          <w:sz w:val="18"/>
          <w:szCs w:val="18"/>
        </w:rPr>
        <w:t>Accounts payable are recognised when the Fund becomes obliged to make future payments resulting from the goods and services received, whether or not billed to the Fund and are carried at nominal amounts which are equivalent to fair values.</w:t>
      </w:r>
    </w:p>
    <w:p w:rsidR="00E40DE6" w:rsidRDefault="008E2C4C" w:rsidP="00012D47">
      <w:pPr>
        <w:widowControl w:val="0"/>
        <w:tabs>
          <w:tab w:val="left" w:pos="19"/>
          <w:tab w:val="left" w:pos="372"/>
        </w:tabs>
        <w:spacing w:after="0" w:line="240" w:lineRule="auto"/>
        <w:rPr>
          <w:rFonts w:cs="Arial"/>
          <w:b/>
          <w:bCs/>
          <w:color w:val="000000"/>
          <w:sz w:val="22"/>
        </w:rPr>
      </w:pPr>
    </w:p>
    <w:p w:rsidR="00012D47" w:rsidRPr="00347D84" w:rsidRDefault="008E2C4C" w:rsidP="005905D4">
      <w:pPr>
        <w:keepNext/>
        <w:keepLines/>
        <w:widowControl w:val="0"/>
        <w:tabs>
          <w:tab w:val="left" w:pos="19"/>
          <w:tab w:val="left" w:pos="372"/>
        </w:tabs>
        <w:spacing w:after="0" w:line="240" w:lineRule="auto"/>
        <w:rPr>
          <w:rFonts w:cs="Arial"/>
          <w:b/>
          <w:bCs/>
          <w:color w:val="000000"/>
          <w:sz w:val="22"/>
        </w:rPr>
      </w:pPr>
      <w:r w:rsidRPr="00347D84">
        <w:rPr>
          <w:rFonts w:cs="Arial"/>
          <w:b/>
          <w:bCs/>
          <w:color w:val="000000"/>
          <w:sz w:val="22"/>
        </w:rPr>
        <w:t>(</w:t>
      </w:r>
      <w:r>
        <w:rPr>
          <w:rFonts w:cs="Arial"/>
          <w:b/>
          <w:bCs/>
          <w:color w:val="000000"/>
          <w:sz w:val="22"/>
        </w:rPr>
        <w:t>g</w:t>
      </w:r>
      <w:r w:rsidRPr="00347D84">
        <w:rPr>
          <w:rFonts w:cs="Arial"/>
          <w:b/>
          <w:bCs/>
          <w:color w:val="000000"/>
          <w:sz w:val="22"/>
        </w:rPr>
        <w:t>)</w:t>
      </w:r>
      <w:r w:rsidRPr="00347D84">
        <w:rPr>
          <w:rFonts w:cs="Arial"/>
          <w:b/>
          <w:bCs/>
          <w:color w:val="000000"/>
          <w:sz w:val="22"/>
        </w:rPr>
        <w:tab/>
        <w:t>Reven</w:t>
      </w:r>
      <w:r w:rsidRPr="00347D84">
        <w:rPr>
          <w:rFonts w:cs="Arial"/>
          <w:b/>
          <w:bCs/>
          <w:color w:val="000000"/>
          <w:sz w:val="22"/>
        </w:rPr>
        <w:t>ue Recognition</w:t>
      </w:r>
    </w:p>
    <w:p w:rsidR="00012D47" w:rsidRPr="00347D84" w:rsidRDefault="008E2C4C" w:rsidP="005905D4">
      <w:pPr>
        <w:keepNext/>
        <w:keepLines/>
        <w:widowControl w:val="0"/>
        <w:spacing w:after="0" w:line="240" w:lineRule="auto"/>
        <w:rPr>
          <w:rFonts w:cs="Arial"/>
          <w:sz w:val="18"/>
          <w:szCs w:val="18"/>
        </w:rPr>
      </w:pPr>
    </w:p>
    <w:p w:rsidR="00012D47" w:rsidRPr="00347D84" w:rsidRDefault="008E2C4C" w:rsidP="005905D4">
      <w:pPr>
        <w:keepNext/>
        <w:keepLines/>
        <w:widowControl w:val="0"/>
        <w:tabs>
          <w:tab w:val="left" w:pos="29"/>
        </w:tabs>
        <w:spacing w:after="0" w:line="240" w:lineRule="auto"/>
        <w:rPr>
          <w:rFonts w:cs="Arial"/>
          <w:color w:val="000000"/>
          <w:sz w:val="18"/>
          <w:szCs w:val="18"/>
        </w:rPr>
      </w:pPr>
      <w:r w:rsidRPr="00347D84">
        <w:rPr>
          <w:rFonts w:cs="Arial"/>
          <w:color w:val="000000"/>
          <w:sz w:val="18"/>
          <w:szCs w:val="18"/>
        </w:rPr>
        <w:t xml:space="preserve">Revenue is recognised to the extent that it is probable that the economic benefits will flow to the Fund and the revenue can be reliably measured. Revenue is measured at the fair value of consideration received or receivable. The following </w:t>
      </w:r>
      <w:r w:rsidRPr="00347D84">
        <w:rPr>
          <w:rFonts w:cs="Arial"/>
          <w:color w:val="000000"/>
          <w:sz w:val="18"/>
          <w:szCs w:val="18"/>
        </w:rPr>
        <w:t>recognition criteria relate to the specific items of revenue the Fund receives:</w:t>
      </w:r>
    </w:p>
    <w:p w:rsidR="00012D47" w:rsidRPr="00347D84" w:rsidRDefault="008E2C4C" w:rsidP="00012D47">
      <w:pPr>
        <w:widowControl w:val="0"/>
        <w:spacing w:after="0" w:line="240" w:lineRule="auto"/>
        <w:rPr>
          <w:rFonts w:cs="Arial"/>
          <w:sz w:val="18"/>
          <w:szCs w:val="18"/>
        </w:rPr>
      </w:pPr>
    </w:p>
    <w:p w:rsidR="00012D47" w:rsidRPr="00347D84" w:rsidRDefault="008E2C4C" w:rsidP="005905D4">
      <w:pPr>
        <w:keepNext/>
        <w:keepLines/>
        <w:widowControl w:val="0"/>
        <w:tabs>
          <w:tab w:val="left" w:pos="29"/>
        </w:tabs>
        <w:spacing w:after="0" w:line="240" w:lineRule="auto"/>
        <w:rPr>
          <w:rFonts w:cs="Arial"/>
          <w:i/>
          <w:iCs/>
          <w:color w:val="000000"/>
          <w:sz w:val="18"/>
          <w:szCs w:val="18"/>
        </w:rPr>
      </w:pPr>
      <w:r w:rsidRPr="00347D84">
        <w:rPr>
          <w:rFonts w:cs="Arial"/>
          <w:i/>
          <w:iCs/>
          <w:color w:val="000000"/>
          <w:sz w:val="18"/>
          <w:szCs w:val="18"/>
        </w:rPr>
        <w:t xml:space="preserve">Interest </w:t>
      </w:r>
    </w:p>
    <w:p w:rsidR="00012D47" w:rsidRPr="00347D84" w:rsidRDefault="008E2C4C" w:rsidP="005905D4">
      <w:pPr>
        <w:keepNext/>
        <w:keepLines/>
        <w:widowControl w:val="0"/>
        <w:spacing w:after="0" w:line="240" w:lineRule="auto"/>
        <w:rPr>
          <w:rFonts w:cs="Arial"/>
          <w:sz w:val="18"/>
          <w:szCs w:val="18"/>
        </w:rPr>
      </w:pPr>
    </w:p>
    <w:p w:rsidR="00012D47" w:rsidRPr="00347D84" w:rsidRDefault="008E2C4C" w:rsidP="005905D4">
      <w:pPr>
        <w:keepNext/>
        <w:keepLines/>
        <w:widowControl w:val="0"/>
        <w:tabs>
          <w:tab w:val="left" w:pos="29"/>
        </w:tabs>
        <w:spacing w:after="0" w:line="240" w:lineRule="auto"/>
        <w:rPr>
          <w:rFonts w:cs="Arial"/>
          <w:color w:val="000000"/>
          <w:sz w:val="18"/>
          <w:szCs w:val="18"/>
        </w:rPr>
      </w:pPr>
      <w:r w:rsidRPr="00347D84">
        <w:rPr>
          <w:rFonts w:cs="Arial"/>
          <w:color w:val="000000"/>
          <w:sz w:val="18"/>
          <w:szCs w:val="18"/>
        </w:rPr>
        <w:t>The interest revenue is recognised by the Fund on a cash receipt basis, unless the Fund chooses the accrual method and the amount can be reliably measured by reference to the principal outstanding and using the effective interest rate of the instrument cal</w:t>
      </w:r>
      <w:r w:rsidRPr="00347D84">
        <w:rPr>
          <w:rFonts w:cs="Arial"/>
          <w:color w:val="000000"/>
          <w:sz w:val="18"/>
          <w:szCs w:val="18"/>
        </w:rPr>
        <w:t xml:space="preserve">culated at the acquisition or origination date. </w:t>
      </w:r>
    </w:p>
    <w:p w:rsidR="00012D47" w:rsidRPr="00347D84" w:rsidRDefault="008E2C4C" w:rsidP="00012D47">
      <w:pPr>
        <w:widowControl w:val="0"/>
        <w:spacing w:after="0" w:line="240" w:lineRule="auto"/>
        <w:rPr>
          <w:rFonts w:cs="Arial"/>
          <w:sz w:val="18"/>
          <w:szCs w:val="18"/>
        </w:rPr>
      </w:pPr>
    </w:p>
    <w:p w:rsidR="00012D47" w:rsidRPr="00347D84" w:rsidRDefault="008E2C4C" w:rsidP="005905D4">
      <w:pPr>
        <w:keepNext/>
        <w:keepLines/>
        <w:widowControl w:val="0"/>
        <w:tabs>
          <w:tab w:val="left" w:pos="29"/>
        </w:tabs>
        <w:spacing w:after="0" w:line="240" w:lineRule="auto"/>
        <w:rPr>
          <w:rFonts w:cs="Arial"/>
          <w:i/>
          <w:iCs/>
          <w:color w:val="000000"/>
          <w:sz w:val="18"/>
          <w:szCs w:val="18"/>
        </w:rPr>
      </w:pPr>
      <w:r w:rsidRPr="00347D84">
        <w:rPr>
          <w:rFonts w:cs="Arial"/>
          <w:i/>
          <w:iCs/>
          <w:color w:val="000000"/>
          <w:sz w:val="18"/>
          <w:szCs w:val="18"/>
        </w:rPr>
        <w:t>Dividend Revenue</w:t>
      </w:r>
    </w:p>
    <w:p w:rsidR="00012D47" w:rsidRPr="00347D84" w:rsidRDefault="008E2C4C" w:rsidP="005905D4">
      <w:pPr>
        <w:keepNext/>
        <w:keepLines/>
        <w:widowControl w:val="0"/>
        <w:spacing w:after="0" w:line="240" w:lineRule="auto"/>
        <w:rPr>
          <w:rFonts w:cs="Arial"/>
          <w:sz w:val="18"/>
          <w:szCs w:val="18"/>
        </w:rPr>
      </w:pPr>
    </w:p>
    <w:p w:rsidR="00012D47" w:rsidRPr="00347D84" w:rsidRDefault="008E2C4C" w:rsidP="005905D4">
      <w:pPr>
        <w:keepNext/>
        <w:keepLines/>
        <w:widowControl w:val="0"/>
        <w:tabs>
          <w:tab w:val="left" w:pos="29"/>
        </w:tabs>
        <w:spacing w:after="0" w:line="240" w:lineRule="auto"/>
        <w:rPr>
          <w:rFonts w:cs="Arial"/>
          <w:color w:val="000000"/>
          <w:sz w:val="18"/>
          <w:szCs w:val="18"/>
        </w:rPr>
      </w:pPr>
      <w:r w:rsidRPr="00347D84">
        <w:rPr>
          <w:rFonts w:cs="Arial"/>
          <w:color w:val="000000"/>
          <w:sz w:val="18"/>
          <w:szCs w:val="18"/>
        </w:rPr>
        <w:t>The entitlement to a dividend is based on the date the shares are quoted ex</w:t>
      </w:r>
      <w:r w:rsidRPr="00347D84">
        <w:rPr>
          <w:rFonts w:cs="Arial"/>
          <w:color w:val="000000"/>
          <w:sz w:val="18"/>
          <w:szCs w:val="18"/>
        </w:rPr>
        <w:noBreakHyphen/>
        <w:t xml:space="preserve">dividend; the actual dividend revenue is recognised by the Fund when it is received. </w:t>
      </w:r>
    </w:p>
    <w:p w:rsidR="00012D47" w:rsidRPr="00347D84" w:rsidRDefault="008E2C4C" w:rsidP="00012D47">
      <w:pPr>
        <w:widowControl w:val="0"/>
        <w:spacing w:after="0" w:line="240" w:lineRule="auto"/>
        <w:rPr>
          <w:rFonts w:cs="Arial"/>
          <w:sz w:val="18"/>
          <w:szCs w:val="18"/>
        </w:rPr>
      </w:pPr>
    </w:p>
    <w:p w:rsidR="00012D47" w:rsidRPr="00347D84" w:rsidRDefault="008E2C4C" w:rsidP="005905D4">
      <w:pPr>
        <w:keepNext/>
        <w:keepLines/>
        <w:widowControl w:val="0"/>
        <w:tabs>
          <w:tab w:val="left" w:pos="29"/>
        </w:tabs>
        <w:spacing w:after="0" w:line="240" w:lineRule="auto"/>
        <w:rPr>
          <w:rFonts w:cs="Arial"/>
          <w:i/>
          <w:iCs/>
          <w:color w:val="000000"/>
          <w:sz w:val="18"/>
          <w:szCs w:val="18"/>
        </w:rPr>
      </w:pPr>
      <w:r w:rsidRPr="00347D84">
        <w:rPr>
          <w:rFonts w:cs="Arial"/>
          <w:i/>
          <w:iCs/>
          <w:color w:val="000000"/>
          <w:sz w:val="18"/>
          <w:szCs w:val="18"/>
        </w:rPr>
        <w:t>Distribution Revenue</w:t>
      </w:r>
    </w:p>
    <w:p w:rsidR="00012D47" w:rsidRPr="00347D84" w:rsidRDefault="008E2C4C" w:rsidP="005905D4">
      <w:pPr>
        <w:keepNext/>
        <w:keepLines/>
        <w:widowControl w:val="0"/>
        <w:spacing w:after="0" w:line="240" w:lineRule="auto"/>
        <w:rPr>
          <w:rFonts w:cs="Arial"/>
          <w:sz w:val="18"/>
          <w:szCs w:val="18"/>
        </w:rPr>
      </w:pPr>
    </w:p>
    <w:p w:rsidR="00012D47" w:rsidRPr="00347D84" w:rsidRDefault="008E2C4C" w:rsidP="005905D4">
      <w:pPr>
        <w:keepNext/>
        <w:keepLines/>
        <w:widowControl w:val="0"/>
        <w:tabs>
          <w:tab w:val="left" w:pos="29"/>
        </w:tabs>
        <w:spacing w:after="0" w:line="240" w:lineRule="auto"/>
        <w:rPr>
          <w:rFonts w:cs="Arial"/>
          <w:color w:val="000000"/>
          <w:sz w:val="18"/>
          <w:szCs w:val="18"/>
        </w:rPr>
      </w:pPr>
      <w:r w:rsidRPr="00347D84">
        <w:rPr>
          <w:rFonts w:cs="Arial"/>
          <w:color w:val="000000"/>
          <w:sz w:val="18"/>
          <w:szCs w:val="18"/>
        </w:rPr>
        <w:t>Distributions from unit trusts and managed funds are recognised as at the date the unit value is quoted ex</w:t>
      </w:r>
      <w:r w:rsidRPr="00347D84">
        <w:rPr>
          <w:rFonts w:cs="Arial"/>
          <w:color w:val="000000"/>
          <w:sz w:val="18"/>
          <w:szCs w:val="18"/>
        </w:rPr>
        <w:noBreakHyphen/>
        <w:t xml:space="preserve">distributions and if not received at the end of the reporting period, are reflected in the statement of financial position as a receivable at market </w:t>
      </w:r>
      <w:r w:rsidRPr="00347D84">
        <w:rPr>
          <w:rFonts w:cs="Arial"/>
          <w:color w:val="000000"/>
          <w:sz w:val="18"/>
          <w:szCs w:val="18"/>
        </w:rPr>
        <w:t>value.</w:t>
      </w:r>
    </w:p>
    <w:p w:rsidR="00012D47" w:rsidRPr="00347D84" w:rsidRDefault="008E2C4C" w:rsidP="00012D47">
      <w:pPr>
        <w:widowControl w:val="0"/>
        <w:spacing w:after="0" w:line="240" w:lineRule="auto"/>
        <w:rPr>
          <w:rFonts w:cs="Arial"/>
          <w:sz w:val="18"/>
          <w:szCs w:val="18"/>
        </w:rPr>
      </w:pPr>
    </w:p>
    <w:p w:rsidR="00012D47" w:rsidRPr="00347D84" w:rsidRDefault="008E2C4C" w:rsidP="005905D4">
      <w:pPr>
        <w:keepNext/>
        <w:keepLines/>
        <w:widowControl w:val="0"/>
        <w:tabs>
          <w:tab w:val="left" w:pos="29"/>
        </w:tabs>
        <w:spacing w:after="0" w:line="240" w:lineRule="auto"/>
        <w:rPr>
          <w:rFonts w:cs="Arial"/>
          <w:i/>
          <w:iCs/>
          <w:color w:val="000000"/>
          <w:sz w:val="18"/>
          <w:szCs w:val="18"/>
        </w:rPr>
      </w:pPr>
      <w:r w:rsidRPr="00347D84">
        <w:rPr>
          <w:rFonts w:cs="Arial"/>
          <w:i/>
          <w:iCs/>
          <w:color w:val="000000"/>
          <w:sz w:val="18"/>
          <w:szCs w:val="18"/>
        </w:rPr>
        <w:t>Rental Income</w:t>
      </w:r>
    </w:p>
    <w:p w:rsidR="00012D47" w:rsidRPr="00347D84" w:rsidRDefault="008E2C4C" w:rsidP="005905D4">
      <w:pPr>
        <w:keepNext/>
        <w:keepLines/>
        <w:widowControl w:val="0"/>
        <w:spacing w:after="0" w:line="240" w:lineRule="auto"/>
        <w:rPr>
          <w:rFonts w:cs="Arial"/>
          <w:sz w:val="18"/>
          <w:szCs w:val="18"/>
        </w:rPr>
      </w:pPr>
    </w:p>
    <w:p w:rsidR="00012D47" w:rsidRPr="00347D84" w:rsidRDefault="008E2C4C" w:rsidP="005905D4">
      <w:pPr>
        <w:keepNext/>
        <w:keepLines/>
        <w:widowControl w:val="0"/>
        <w:tabs>
          <w:tab w:val="left" w:pos="29"/>
        </w:tabs>
        <w:spacing w:after="0" w:line="240" w:lineRule="auto"/>
        <w:rPr>
          <w:rFonts w:cs="Arial"/>
          <w:color w:val="000000"/>
          <w:sz w:val="18"/>
          <w:szCs w:val="18"/>
        </w:rPr>
      </w:pPr>
      <w:r w:rsidRPr="00347D84">
        <w:rPr>
          <w:rFonts w:cs="Arial"/>
          <w:color w:val="000000"/>
          <w:sz w:val="18"/>
          <w:szCs w:val="18"/>
        </w:rPr>
        <w:t xml:space="preserve">Rent from investment properties is recognised by the Fund on a cash receipt basis. </w:t>
      </w:r>
    </w:p>
    <w:p w:rsidR="00012D47" w:rsidRPr="00347D84" w:rsidRDefault="008E2C4C" w:rsidP="00012D47">
      <w:pPr>
        <w:widowControl w:val="0"/>
        <w:spacing w:after="0" w:line="240" w:lineRule="auto"/>
        <w:rPr>
          <w:rFonts w:cs="Arial"/>
          <w:sz w:val="18"/>
          <w:szCs w:val="18"/>
        </w:rPr>
      </w:pPr>
    </w:p>
    <w:p w:rsidR="00012D47" w:rsidRPr="00347D84" w:rsidRDefault="008E2C4C" w:rsidP="005905D4">
      <w:pPr>
        <w:keepNext/>
        <w:keepLines/>
        <w:widowControl w:val="0"/>
        <w:tabs>
          <w:tab w:val="left" w:pos="29"/>
        </w:tabs>
        <w:spacing w:after="0" w:line="240" w:lineRule="auto"/>
        <w:rPr>
          <w:rFonts w:cs="Arial"/>
          <w:i/>
          <w:iCs/>
          <w:color w:val="000000"/>
          <w:sz w:val="18"/>
          <w:szCs w:val="18"/>
        </w:rPr>
      </w:pPr>
      <w:r w:rsidRPr="00347D84">
        <w:rPr>
          <w:rFonts w:cs="Arial"/>
          <w:i/>
          <w:iCs/>
          <w:color w:val="000000"/>
          <w:sz w:val="18"/>
          <w:szCs w:val="18"/>
        </w:rPr>
        <w:t>Movement in market values</w:t>
      </w:r>
    </w:p>
    <w:p w:rsidR="00012D47" w:rsidRPr="00347D84" w:rsidRDefault="008E2C4C" w:rsidP="005905D4">
      <w:pPr>
        <w:keepNext/>
        <w:keepLines/>
        <w:widowControl w:val="0"/>
        <w:spacing w:after="0" w:line="240" w:lineRule="auto"/>
        <w:rPr>
          <w:rFonts w:cs="Arial"/>
          <w:sz w:val="18"/>
          <w:szCs w:val="18"/>
        </w:rPr>
      </w:pPr>
    </w:p>
    <w:p w:rsidR="00012D47" w:rsidRPr="00347D84" w:rsidRDefault="008E2C4C" w:rsidP="005905D4">
      <w:pPr>
        <w:keepNext/>
        <w:keepLines/>
        <w:widowControl w:val="0"/>
        <w:tabs>
          <w:tab w:val="left" w:pos="29"/>
        </w:tabs>
        <w:spacing w:after="0" w:line="240" w:lineRule="auto"/>
        <w:rPr>
          <w:rFonts w:cs="Arial"/>
          <w:color w:val="000000"/>
          <w:sz w:val="18"/>
          <w:szCs w:val="18"/>
        </w:rPr>
      </w:pPr>
      <w:r w:rsidRPr="00347D84">
        <w:rPr>
          <w:rFonts w:cs="Arial"/>
          <w:color w:val="000000"/>
          <w:sz w:val="18"/>
          <w:szCs w:val="18"/>
        </w:rPr>
        <w:t>Changes in the market value of investments are determined as the difference between the market value at balance date or c</w:t>
      </w:r>
      <w:r w:rsidRPr="00347D84">
        <w:rPr>
          <w:rFonts w:cs="Arial"/>
          <w:color w:val="000000"/>
          <w:sz w:val="18"/>
          <w:szCs w:val="18"/>
        </w:rPr>
        <w:t>onsideration received (if sold during the year) and the market value as</w:t>
      </w:r>
      <w:r>
        <w:rPr>
          <w:rFonts w:cs="Arial"/>
          <w:color w:val="000000"/>
          <w:sz w:val="18"/>
          <w:szCs w:val="18"/>
        </w:rPr>
        <w:t xml:space="preserve"> at </w:t>
      </w:r>
      <w:r>
        <w:rPr>
          <w:rFonts w:cs="Arial"/>
          <w:color w:val="000000"/>
          <w:sz w:val="18"/>
          <w:szCs w:val="18"/>
        </w:rPr>
        <w:t>t</w:t>
      </w:r>
      <w:r w:rsidRPr="00347D84">
        <w:rPr>
          <w:rFonts w:cs="Arial"/>
          <w:color w:val="000000"/>
          <w:sz w:val="18"/>
          <w:szCs w:val="18"/>
        </w:rPr>
        <w:t>he prior year end or cost (if the investment was acquired during the period). All movements are recognised in the Operating Statement.</w:t>
      </w:r>
    </w:p>
    <w:p w:rsidR="00012D47" w:rsidRPr="00347D84" w:rsidRDefault="008E2C4C" w:rsidP="00012D47">
      <w:pPr>
        <w:widowControl w:val="0"/>
        <w:spacing w:after="0" w:line="240" w:lineRule="auto"/>
        <w:rPr>
          <w:rFonts w:cs="Arial"/>
          <w:sz w:val="18"/>
          <w:szCs w:val="18"/>
        </w:rPr>
      </w:pPr>
    </w:p>
    <w:p w:rsidR="00012D47" w:rsidRPr="00347D84" w:rsidRDefault="008E2C4C" w:rsidP="005905D4">
      <w:pPr>
        <w:keepNext/>
        <w:keepLines/>
        <w:widowControl w:val="0"/>
        <w:tabs>
          <w:tab w:val="left" w:pos="29"/>
        </w:tabs>
        <w:spacing w:after="0" w:line="240" w:lineRule="auto"/>
        <w:rPr>
          <w:rFonts w:cs="Arial"/>
          <w:i/>
          <w:iCs/>
          <w:color w:val="000000"/>
          <w:sz w:val="18"/>
          <w:szCs w:val="18"/>
        </w:rPr>
      </w:pPr>
      <w:r w:rsidRPr="00347D84">
        <w:rPr>
          <w:rFonts w:cs="Arial"/>
          <w:i/>
          <w:iCs/>
          <w:color w:val="000000"/>
          <w:sz w:val="18"/>
          <w:szCs w:val="18"/>
        </w:rPr>
        <w:t>Contributions and Rollovers In</w:t>
      </w:r>
    </w:p>
    <w:p w:rsidR="00012D47" w:rsidRPr="00347D84" w:rsidRDefault="008E2C4C" w:rsidP="005905D4">
      <w:pPr>
        <w:keepNext/>
        <w:keepLines/>
        <w:widowControl w:val="0"/>
        <w:spacing w:after="0" w:line="240" w:lineRule="auto"/>
        <w:rPr>
          <w:rFonts w:cs="Arial"/>
          <w:sz w:val="18"/>
          <w:szCs w:val="18"/>
        </w:rPr>
      </w:pPr>
    </w:p>
    <w:p w:rsidR="00012D47" w:rsidRDefault="008E2C4C" w:rsidP="005905D4">
      <w:pPr>
        <w:keepNext/>
        <w:keepLines/>
        <w:widowControl w:val="0"/>
        <w:tabs>
          <w:tab w:val="left" w:pos="29"/>
        </w:tabs>
        <w:spacing w:after="0" w:line="240" w:lineRule="auto"/>
        <w:rPr>
          <w:rFonts w:cs="Arial"/>
          <w:color w:val="000000"/>
          <w:sz w:val="18"/>
          <w:szCs w:val="18"/>
        </w:rPr>
      </w:pPr>
      <w:r w:rsidRPr="00347D84">
        <w:rPr>
          <w:rFonts w:cs="Arial"/>
          <w:color w:val="000000"/>
          <w:sz w:val="18"/>
          <w:szCs w:val="18"/>
        </w:rPr>
        <w:t>Contribution</w:t>
      </w:r>
      <w:r w:rsidRPr="00347D84">
        <w:rPr>
          <w:rFonts w:cs="Arial"/>
          <w:color w:val="000000"/>
          <w:sz w:val="18"/>
          <w:szCs w:val="18"/>
        </w:rPr>
        <w:t>s and rollovers in are recognised when the control and the benefits from the revenue have been attained and are recorded by the Fund, gross of any taxes, in the period to which they relate.</w:t>
      </w:r>
    </w:p>
    <w:p w:rsidR="00123714" w:rsidRDefault="008E2C4C" w:rsidP="00E40DE6">
      <w:pPr>
        <w:suppressAutoHyphens/>
        <w:autoSpaceDE w:val="0"/>
        <w:autoSpaceDN w:val="0"/>
        <w:adjustRightInd w:val="0"/>
        <w:spacing w:after="0" w:line="240" w:lineRule="exact"/>
        <w:ind w:left="357" w:hanging="347"/>
        <w:rPr>
          <w:rFonts w:cs="Arial"/>
          <w:b/>
          <w:bCs/>
          <w:color w:val="000000"/>
          <w:sz w:val="22"/>
        </w:rPr>
      </w:pPr>
    </w:p>
    <w:p w:rsidR="00E40DE6" w:rsidRDefault="008E2C4C" w:rsidP="005905D4">
      <w:pPr>
        <w:keepNext/>
        <w:keepLines/>
        <w:suppressAutoHyphens/>
        <w:autoSpaceDE w:val="0"/>
        <w:autoSpaceDN w:val="0"/>
        <w:adjustRightInd w:val="0"/>
        <w:spacing w:after="0" w:line="240" w:lineRule="exact"/>
        <w:ind w:left="357" w:hanging="347"/>
        <w:rPr>
          <w:rFonts w:cs="Arial"/>
          <w:b/>
          <w:bCs/>
          <w:color w:val="000000"/>
          <w:sz w:val="22"/>
        </w:rPr>
      </w:pPr>
      <w:r>
        <w:rPr>
          <w:rFonts w:cs="Arial"/>
          <w:b/>
          <w:bCs/>
          <w:color w:val="000000"/>
          <w:sz w:val="22"/>
        </w:rPr>
        <w:lastRenderedPageBreak/>
        <w:t>(</w:t>
      </w:r>
      <w:r>
        <w:rPr>
          <w:rFonts w:cs="Arial"/>
          <w:b/>
          <w:bCs/>
          <w:color w:val="000000"/>
          <w:sz w:val="22"/>
        </w:rPr>
        <w:t>h</w:t>
      </w:r>
      <w:r>
        <w:rPr>
          <w:rFonts w:cs="Arial"/>
          <w:b/>
          <w:bCs/>
          <w:color w:val="000000"/>
          <w:sz w:val="22"/>
        </w:rPr>
        <w:t>)</w:t>
      </w:r>
      <w:r>
        <w:rPr>
          <w:rFonts w:cs="Arial"/>
          <w:b/>
          <w:bCs/>
          <w:color w:val="000000"/>
          <w:sz w:val="22"/>
        </w:rPr>
        <w:tab/>
        <w:t>Income Tax</w:t>
      </w:r>
    </w:p>
    <w:p w:rsidR="00E40DE6" w:rsidRDefault="008E2C4C" w:rsidP="005905D4">
      <w:pPr>
        <w:keepNext/>
        <w:keepLines/>
        <w:suppressAutoHyphens/>
        <w:autoSpaceDE w:val="0"/>
        <w:autoSpaceDN w:val="0"/>
        <w:adjustRightInd w:val="0"/>
        <w:spacing w:after="0" w:line="240" w:lineRule="exact"/>
        <w:ind w:left="357" w:hanging="347"/>
        <w:rPr>
          <w:rFonts w:cs="Arial"/>
          <w:b/>
          <w:bCs/>
          <w:color w:val="000000"/>
          <w:sz w:val="22"/>
        </w:rPr>
      </w:pPr>
    </w:p>
    <w:p w:rsidR="00E40DE6" w:rsidRDefault="008E2C4C" w:rsidP="005905D4">
      <w:pPr>
        <w:keepNext/>
        <w:keepLines/>
        <w:suppressAutoHyphens/>
        <w:autoSpaceDE w:val="0"/>
        <w:autoSpaceDN w:val="0"/>
        <w:adjustRightInd w:val="0"/>
        <w:spacing w:after="0" w:line="240" w:lineRule="exact"/>
        <w:rPr>
          <w:rFonts w:cs="Arial"/>
          <w:color w:val="000000"/>
          <w:sz w:val="18"/>
          <w:szCs w:val="18"/>
        </w:rPr>
      </w:pPr>
      <w:r>
        <w:rPr>
          <w:rFonts w:cs="Arial"/>
          <w:color w:val="000000"/>
          <w:sz w:val="18"/>
          <w:szCs w:val="18"/>
        </w:rPr>
        <w:t xml:space="preserve">The income tax on the benefits accrued as a </w:t>
      </w:r>
      <w:r>
        <w:rPr>
          <w:rFonts w:cs="Arial"/>
          <w:color w:val="000000"/>
          <w:sz w:val="18"/>
          <w:szCs w:val="18"/>
        </w:rPr>
        <w:t>result of operations for the year comprises current and deferred tax. Income tax expense is recognised in the Operating Statement.</w:t>
      </w:r>
    </w:p>
    <w:p w:rsidR="00E40DE6" w:rsidRDefault="008E2C4C" w:rsidP="005905D4">
      <w:pPr>
        <w:keepNext/>
        <w:keepLines/>
        <w:suppressAutoHyphens/>
        <w:autoSpaceDE w:val="0"/>
        <w:autoSpaceDN w:val="0"/>
        <w:adjustRightInd w:val="0"/>
        <w:spacing w:after="0" w:line="240" w:lineRule="exact"/>
        <w:rPr>
          <w:rFonts w:cs="Arial"/>
          <w:color w:val="000000"/>
          <w:sz w:val="18"/>
          <w:szCs w:val="18"/>
        </w:rPr>
      </w:pPr>
    </w:p>
    <w:p w:rsidR="00E40DE6" w:rsidRDefault="008E2C4C" w:rsidP="005905D4">
      <w:pPr>
        <w:keepNext/>
        <w:keepLines/>
        <w:suppressAutoHyphens/>
        <w:autoSpaceDE w:val="0"/>
        <w:autoSpaceDN w:val="0"/>
        <w:adjustRightInd w:val="0"/>
        <w:spacing w:after="0" w:line="240" w:lineRule="exact"/>
        <w:rPr>
          <w:rFonts w:cs="Arial"/>
          <w:color w:val="000000"/>
          <w:sz w:val="18"/>
          <w:szCs w:val="18"/>
        </w:rPr>
      </w:pPr>
      <w:r>
        <w:rPr>
          <w:rFonts w:cs="Arial"/>
          <w:color w:val="000000"/>
          <w:sz w:val="18"/>
          <w:szCs w:val="18"/>
        </w:rPr>
        <w:t>Current income tax expense is calculated by reference to the amount of income taxes payable in respect of the taxable income</w:t>
      </w:r>
      <w:r>
        <w:rPr>
          <w:rFonts w:cs="Arial"/>
          <w:color w:val="000000"/>
          <w:sz w:val="18"/>
          <w:szCs w:val="18"/>
        </w:rPr>
        <w:t xml:space="preserve"> for the year using tax rates enacted or substantively enacted by reporting date and any adjustment to tax payable in respect of previous years. Current tax liabilities (assets) are therefore measured at the amounts expected to be paid to (recovered from) </w:t>
      </w:r>
      <w:r>
        <w:rPr>
          <w:rFonts w:cs="Arial"/>
          <w:color w:val="000000"/>
          <w:sz w:val="18"/>
          <w:szCs w:val="18"/>
        </w:rPr>
        <w:t>the relevant taxation authority.</w:t>
      </w:r>
    </w:p>
    <w:p w:rsidR="00E40DE6" w:rsidRDefault="008E2C4C" w:rsidP="005905D4">
      <w:pPr>
        <w:keepNext/>
        <w:keepLines/>
        <w:suppressAutoHyphens/>
        <w:autoSpaceDE w:val="0"/>
        <w:autoSpaceDN w:val="0"/>
        <w:adjustRightInd w:val="0"/>
        <w:spacing w:after="0" w:line="240" w:lineRule="exact"/>
        <w:rPr>
          <w:rFonts w:cs="Arial"/>
          <w:color w:val="000000"/>
          <w:sz w:val="18"/>
          <w:szCs w:val="18"/>
        </w:rPr>
      </w:pPr>
    </w:p>
    <w:p w:rsidR="00E40DE6" w:rsidRDefault="008E2C4C" w:rsidP="005905D4">
      <w:pPr>
        <w:keepNext/>
        <w:keepLines/>
        <w:suppressAutoHyphens/>
        <w:autoSpaceDE w:val="0"/>
        <w:autoSpaceDN w:val="0"/>
        <w:adjustRightInd w:val="0"/>
        <w:spacing w:after="0" w:line="240" w:lineRule="exact"/>
        <w:rPr>
          <w:rFonts w:cs="Arial"/>
          <w:color w:val="000000"/>
          <w:sz w:val="18"/>
          <w:szCs w:val="18"/>
        </w:rPr>
      </w:pPr>
      <w:r>
        <w:rPr>
          <w:rFonts w:cs="Arial"/>
          <w:color w:val="000000"/>
          <w:sz w:val="18"/>
          <w:szCs w:val="18"/>
        </w:rPr>
        <w:t>Deferred income tax expense reflects movements in deferred tax liability balances during the year as well as any unused tax losses.</w:t>
      </w:r>
    </w:p>
    <w:p w:rsidR="00E40DE6" w:rsidRDefault="008E2C4C" w:rsidP="005905D4">
      <w:pPr>
        <w:keepNext/>
        <w:keepLines/>
        <w:suppressAutoHyphens/>
        <w:autoSpaceDE w:val="0"/>
        <w:autoSpaceDN w:val="0"/>
        <w:adjustRightInd w:val="0"/>
        <w:spacing w:after="0" w:line="240" w:lineRule="exact"/>
        <w:rPr>
          <w:rFonts w:cs="Arial"/>
          <w:color w:val="000000"/>
          <w:sz w:val="18"/>
          <w:szCs w:val="18"/>
        </w:rPr>
      </w:pPr>
    </w:p>
    <w:p w:rsidR="00E40DE6" w:rsidRDefault="008E2C4C" w:rsidP="005905D4">
      <w:pPr>
        <w:keepNext/>
        <w:keepLines/>
        <w:suppressAutoHyphens/>
        <w:autoSpaceDE w:val="0"/>
        <w:autoSpaceDN w:val="0"/>
        <w:adjustRightInd w:val="0"/>
        <w:spacing w:after="0" w:line="240" w:lineRule="exact"/>
        <w:rPr>
          <w:rFonts w:cs="Arial"/>
          <w:color w:val="000000"/>
          <w:sz w:val="18"/>
          <w:szCs w:val="18"/>
        </w:rPr>
      </w:pPr>
      <w:r>
        <w:rPr>
          <w:rFonts w:cs="Arial"/>
          <w:color w:val="000000"/>
          <w:sz w:val="18"/>
          <w:szCs w:val="18"/>
        </w:rPr>
        <w:t xml:space="preserve">Deferred tax assets and liabilities are calculated at the tax rates that are expected to </w:t>
      </w:r>
      <w:r>
        <w:rPr>
          <w:rFonts w:cs="Arial"/>
          <w:color w:val="000000"/>
          <w:sz w:val="18"/>
          <w:szCs w:val="18"/>
        </w:rPr>
        <w:t>apply to the period when the assets are realised or the liabilities are settled and their measurements also reflect the manner in which the Trustees expect to recover or settle the carrying amounts of the related assets or liabilities.</w:t>
      </w:r>
    </w:p>
    <w:p w:rsidR="00E40DE6" w:rsidRDefault="008E2C4C" w:rsidP="005905D4">
      <w:pPr>
        <w:keepNext/>
        <w:keepLines/>
        <w:suppressAutoHyphens/>
        <w:autoSpaceDE w:val="0"/>
        <w:autoSpaceDN w:val="0"/>
        <w:adjustRightInd w:val="0"/>
        <w:spacing w:after="0" w:line="240" w:lineRule="exact"/>
        <w:rPr>
          <w:rFonts w:cs="Arial"/>
          <w:color w:val="000000"/>
          <w:sz w:val="18"/>
          <w:szCs w:val="18"/>
        </w:rPr>
      </w:pPr>
    </w:p>
    <w:p w:rsidR="00E40DE6" w:rsidRDefault="008E2C4C" w:rsidP="005905D4">
      <w:pPr>
        <w:keepNext/>
        <w:keepLines/>
        <w:suppressAutoHyphens/>
        <w:autoSpaceDE w:val="0"/>
        <w:autoSpaceDN w:val="0"/>
        <w:adjustRightInd w:val="0"/>
        <w:spacing w:after="0" w:line="240" w:lineRule="exact"/>
        <w:rPr>
          <w:rFonts w:cs="Arial"/>
          <w:color w:val="000000"/>
          <w:sz w:val="18"/>
          <w:szCs w:val="18"/>
        </w:rPr>
      </w:pPr>
      <w:r>
        <w:rPr>
          <w:rFonts w:cs="Arial"/>
          <w:color w:val="000000"/>
          <w:sz w:val="18"/>
          <w:szCs w:val="18"/>
        </w:rPr>
        <w:t>Deferred tax assets</w:t>
      </w:r>
      <w:r>
        <w:rPr>
          <w:rFonts w:cs="Arial"/>
          <w:color w:val="000000"/>
          <w:sz w:val="18"/>
          <w:szCs w:val="18"/>
        </w:rPr>
        <w:t xml:space="preserve"> relating to temporary differences and unused tax losses are recognised only to the extent that it is probable that future taxable profit will be available against which the benefits of the deferred tax assets can be utilised. Deferred tax assets are revie</w:t>
      </w:r>
      <w:r>
        <w:rPr>
          <w:rFonts w:cs="Arial"/>
          <w:color w:val="000000"/>
          <w:sz w:val="18"/>
          <w:szCs w:val="18"/>
        </w:rPr>
        <w:t xml:space="preserve">wed at each reporting date and are reduced to the extent it is no longer probable that the related tax benefits will be realised. </w:t>
      </w:r>
    </w:p>
    <w:p w:rsidR="00E40DE6" w:rsidRDefault="008E2C4C" w:rsidP="005905D4">
      <w:pPr>
        <w:keepNext/>
        <w:keepLines/>
        <w:suppressAutoHyphens/>
        <w:autoSpaceDE w:val="0"/>
        <w:autoSpaceDN w:val="0"/>
        <w:adjustRightInd w:val="0"/>
        <w:spacing w:after="0" w:line="240" w:lineRule="exact"/>
        <w:rPr>
          <w:rFonts w:cs="Arial"/>
          <w:color w:val="000000"/>
          <w:sz w:val="18"/>
          <w:szCs w:val="18"/>
        </w:rPr>
      </w:pPr>
    </w:p>
    <w:p w:rsidR="00E40DE6" w:rsidRDefault="008E2C4C" w:rsidP="005905D4">
      <w:pPr>
        <w:keepNext/>
        <w:keepLines/>
        <w:suppressAutoHyphens/>
        <w:autoSpaceDE w:val="0"/>
        <w:autoSpaceDN w:val="0"/>
        <w:adjustRightInd w:val="0"/>
        <w:spacing w:after="0" w:line="240" w:lineRule="exact"/>
        <w:rPr>
          <w:rFonts w:cs="Arial"/>
          <w:color w:val="000000"/>
          <w:sz w:val="18"/>
          <w:szCs w:val="18"/>
        </w:rPr>
      </w:pPr>
      <w:r>
        <w:rPr>
          <w:rFonts w:cs="Arial"/>
          <w:color w:val="000000"/>
          <w:sz w:val="18"/>
          <w:szCs w:val="18"/>
        </w:rPr>
        <w:t>Current tax assets and liabilities are offset where a legally enforceable right of set-off exists and it is intended that ne</w:t>
      </w:r>
      <w:r>
        <w:rPr>
          <w:rFonts w:cs="Arial"/>
          <w:color w:val="000000"/>
          <w:sz w:val="18"/>
          <w:szCs w:val="18"/>
        </w:rPr>
        <w:t xml:space="preserve">t settlement or simultaneous realisation and settlement of the respective asset and liability will occur. </w:t>
      </w:r>
    </w:p>
    <w:p w:rsidR="00E40DE6" w:rsidRDefault="008E2C4C" w:rsidP="005905D4">
      <w:pPr>
        <w:keepNext/>
        <w:keepLines/>
        <w:suppressAutoHyphens/>
        <w:autoSpaceDE w:val="0"/>
        <w:autoSpaceDN w:val="0"/>
        <w:adjustRightInd w:val="0"/>
        <w:spacing w:after="0" w:line="240" w:lineRule="exact"/>
        <w:rPr>
          <w:rFonts w:cs="Arial"/>
          <w:color w:val="000000"/>
          <w:sz w:val="18"/>
          <w:szCs w:val="18"/>
        </w:rPr>
      </w:pPr>
    </w:p>
    <w:p w:rsidR="00E40DE6" w:rsidRDefault="008E2C4C" w:rsidP="005905D4">
      <w:pPr>
        <w:keepNext/>
        <w:keepLines/>
        <w:widowControl w:val="0"/>
        <w:tabs>
          <w:tab w:val="left" w:pos="29"/>
        </w:tabs>
        <w:spacing w:after="0" w:line="240" w:lineRule="auto"/>
        <w:rPr>
          <w:rFonts w:cs="Arial"/>
          <w:color w:val="000000"/>
          <w:sz w:val="18"/>
          <w:szCs w:val="18"/>
        </w:rPr>
      </w:pPr>
      <w:r>
        <w:rPr>
          <w:rFonts w:cs="Arial"/>
          <w:color w:val="000000"/>
          <w:sz w:val="18"/>
          <w:szCs w:val="18"/>
        </w:rPr>
        <w:t>Deferred tax assets and liabilities are offset when a legally enforceable right of set-off exists, they relate to income taxes levied by the same ta</w:t>
      </w:r>
      <w:r>
        <w:rPr>
          <w:rFonts w:cs="Arial"/>
          <w:color w:val="000000"/>
          <w:sz w:val="18"/>
          <w:szCs w:val="18"/>
        </w:rPr>
        <w:t>xation authority and the fund intends to settle the tax assets and liabiliti</w:t>
      </w:r>
      <w:r>
        <w:rPr>
          <w:rFonts w:cs="Arial"/>
          <w:color w:val="000000"/>
          <w:sz w:val="18"/>
          <w:szCs w:val="18"/>
        </w:rPr>
        <w:t>es on a net basis in future when</w:t>
      </w:r>
      <w:r>
        <w:rPr>
          <w:rFonts w:cs="Arial"/>
          <w:color w:val="000000"/>
          <w:sz w:val="18"/>
          <w:szCs w:val="18"/>
        </w:rPr>
        <w:t xml:space="preserve"> they are realised.  </w:t>
      </w:r>
    </w:p>
    <w:p w:rsidR="00123714" w:rsidRDefault="008E2C4C" w:rsidP="00591DEC">
      <w:pPr>
        <w:widowControl w:val="0"/>
        <w:autoSpaceDE w:val="0"/>
        <w:autoSpaceDN w:val="0"/>
        <w:adjustRightInd w:val="0"/>
        <w:spacing w:after="0" w:line="240" w:lineRule="auto"/>
        <w:rPr>
          <w:rFonts w:cs="Arial"/>
          <w:color w:val="000000"/>
          <w:sz w:val="18"/>
          <w:szCs w:val="18"/>
        </w:rPr>
      </w:pPr>
    </w:p>
    <w:p w:rsidR="00E727B3" w:rsidRPr="00123714" w:rsidRDefault="008E2C4C" w:rsidP="005905D4">
      <w:pPr>
        <w:keepNext/>
        <w:keepLines/>
        <w:widowControl w:val="0"/>
        <w:autoSpaceDE w:val="0"/>
        <w:autoSpaceDN w:val="0"/>
        <w:adjustRightInd w:val="0"/>
        <w:spacing w:after="0" w:line="240" w:lineRule="auto"/>
        <w:rPr>
          <w:rFonts w:cs="Arial"/>
          <w:color w:val="000000"/>
          <w:sz w:val="18"/>
          <w:szCs w:val="18"/>
        </w:rPr>
      </w:pPr>
      <w:r>
        <w:rPr>
          <w:rFonts w:cs="Arial"/>
          <w:color w:val="000000"/>
          <w:sz w:val="18"/>
          <w:szCs w:val="18"/>
        </w:rPr>
        <w:t>T</w:t>
      </w:r>
      <w:r w:rsidRPr="00347D84">
        <w:rPr>
          <w:rFonts w:cs="Arial"/>
          <w:color w:val="000000"/>
          <w:sz w:val="18"/>
          <w:szCs w:val="18"/>
        </w:rPr>
        <w:t>he financial rep</w:t>
      </w:r>
      <w:r w:rsidRPr="00347D84">
        <w:rPr>
          <w:rFonts w:cs="Arial"/>
          <w:color w:val="000000"/>
          <w:sz w:val="18"/>
          <w:szCs w:val="18"/>
        </w:rPr>
        <w:t xml:space="preserve">ort was authorised for issue on </w:t>
      </w:r>
      <w:r w:rsidR="00A509AA" w:rsidRPr="00A03A98">
        <w:rPr>
          <w:rFonts w:cs="Arial"/>
          <w:sz w:val="18"/>
          <w:szCs w:val="18"/>
        </w:rPr>
        <w:t>[</w:t>
      </w:r>
      <w:r w:rsidR="00A509AA" w:rsidRPr="00A03A98">
        <w:rPr>
          <w:rFonts w:eastAsia="SimSun" w:cs="Arial"/>
          <w:sz w:val="18"/>
          <w:szCs w:val="18"/>
          <w:lang w:val="en-US" w:eastAsia="zh-CN"/>
        </w:rPr>
        <w:t>AuthorisationDate</w:t>
      </w:r>
      <w:r w:rsidR="00A509AA" w:rsidRPr="00D05179">
        <w:rPr>
          <w:rFonts w:cs="Arial"/>
          <w:sz w:val="18"/>
          <w:szCs w:val="18"/>
        </w:rPr>
        <w:t>]</w:t>
      </w:r>
      <w:r w:rsidR="00A509AA">
        <w:rPr>
          <w:rFonts w:cs="Arial"/>
          <w:sz w:val="18"/>
          <w:szCs w:val="18"/>
        </w:rPr>
        <w:t xml:space="preserve"> </w:t>
      </w:r>
      <w:r w:rsidRPr="00123714">
        <w:rPr>
          <w:rFonts w:cs="Arial"/>
          <w:color w:val="000000"/>
          <w:sz w:val="18"/>
          <w:szCs w:val="18"/>
        </w:rPr>
        <w:t xml:space="preserve">by the </w:t>
      </w:r>
      <w:r w:rsidRPr="00123714">
        <w:rPr>
          <w:rFonts w:cs="Arial"/>
          <w:color w:val="000000"/>
          <w:sz w:val="18"/>
          <w:szCs w:val="18"/>
          <w:shd w:val="clear" w:color="auto" w:fill="FFFFFF"/>
        </w:rPr>
        <w:t>directors of the trustee company</w:t>
      </w:r>
      <w:r>
        <w:rPr>
          <w:rFonts w:cs="Arial"/>
          <w:color w:val="000000"/>
          <w:sz w:val="18"/>
          <w:szCs w:val="18"/>
          <w:shd w:val="clear" w:color="auto" w:fill="FFFFFF"/>
        </w:rPr>
        <w:t>.</w:t>
      </w:r>
      <w:r w:rsidRPr="00123714">
        <w:rPr>
          <w:rFonts w:cs="Arial"/>
          <w:color w:val="000000"/>
          <w:sz w:val="18"/>
          <w:szCs w:val="18"/>
        </w:rPr>
        <w:t xml:space="preserve"> </w:t>
      </w:r>
    </w:p>
    <w:p w:rsidR="005E23A5" w:rsidRPr="00347D84" w:rsidRDefault="008E2C4C" w:rsidP="00591DEC">
      <w:pPr>
        <w:widowControl w:val="0"/>
        <w:autoSpaceDE w:val="0"/>
        <w:autoSpaceDN w:val="0"/>
        <w:adjustRightInd w:val="0"/>
        <w:spacing w:after="0" w:line="240" w:lineRule="auto"/>
        <w:rPr>
          <w:rFonts w:cs="Arial"/>
          <w:sz w:val="18"/>
          <w:szCs w:val="18"/>
        </w:rPr>
      </w:pPr>
    </w:p>
    <w:sectPr w:rsidR="005E23A5" w:rsidRPr="00347D84" w:rsidSect="00957E74">
      <w:footerReference w:type="default" r:id="rId7"/>
      <w:pgSz w:w="11906" w:h="16838"/>
      <w:pgMar w:top="1247" w:right="1021" w:bottom="238" w:left="1021" w:header="238" w:footer="2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2C4C" w:rsidRDefault="008E2C4C">
      <w:pPr>
        <w:spacing w:after="0" w:line="240" w:lineRule="auto"/>
      </w:pPr>
      <w:r>
        <w:separator/>
      </w:r>
    </w:p>
  </w:endnote>
  <w:endnote w:type="continuationSeparator" w:id="0">
    <w:p w:rsidR="008E2C4C" w:rsidRDefault="008E2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FD9" w:rsidRDefault="008E2C4C" w:rsidP="002F44D3">
    <w:pPr>
      <w:pStyle w:val="Style17"/>
      <w:tabs>
        <w:tab w:val="left" w:pos="1985"/>
      </w:tabs>
      <w:spacing w:line="204" w:lineRule="exact"/>
      <w:jc w:val="center"/>
      <w:rPr>
        <w:b/>
        <w:bCs/>
        <w:color w:val="000000"/>
        <w:sz w:val="12"/>
        <w:szCs w:val="12"/>
      </w:rPr>
    </w:pPr>
  </w:p>
  <w:p w:rsidR="00BD6FD9" w:rsidRDefault="008E2C4C" w:rsidP="0000625E">
    <w:pPr>
      <w:pStyle w:val="Style17"/>
      <w:tabs>
        <w:tab w:val="left" w:pos="1985"/>
      </w:tabs>
      <w:spacing w:line="204" w:lineRule="exact"/>
      <w:rPr>
        <w:color w:val="000000"/>
        <w:sz w:val="18"/>
        <w:szCs w:val="18"/>
      </w:rPr>
    </w:pPr>
    <w:r>
      <w:rPr>
        <w:b/>
        <w:bCs/>
        <w:color w:val="000000"/>
        <w:sz w:val="12"/>
        <w:szCs w:val="12"/>
      </w:rPr>
      <w:tab/>
    </w:r>
    <w:r>
      <w:rPr>
        <w:b/>
        <w:bCs/>
        <w:color w:val="000000"/>
        <w:sz w:val="12"/>
        <w:szCs w:val="12"/>
      </w:rPr>
      <w:tab/>
    </w:r>
    <w:r>
      <w:rPr>
        <w:b/>
        <w:bCs/>
        <w:color w:val="000000"/>
        <w:sz w:val="18"/>
        <w:szCs w:val="18"/>
      </w:rPr>
      <w:tab/>
      <w:t xml:space="preserve">Page </w:t>
    </w:r>
    <w:r>
      <w:rPr>
        <w:b/>
        <w:bCs/>
        <w:color w:val="000000"/>
        <w:sz w:val="18"/>
        <w:szCs w:val="18"/>
      </w:rPr>
      <w:fldChar w:fldCharType="begin"/>
    </w:r>
    <w:r>
      <w:rPr>
        <w:b/>
        <w:bCs/>
        <w:color w:val="000000"/>
        <w:sz w:val="18"/>
        <w:szCs w:val="18"/>
      </w:rPr>
      <w:instrText xml:space="preserve"> PAGE   \* MERGEFORMAT </w:instrText>
    </w:r>
    <w:r>
      <w:rPr>
        <w:b/>
        <w:bCs/>
        <w:color w:val="000000"/>
        <w:sz w:val="18"/>
        <w:szCs w:val="18"/>
      </w:rPr>
      <w:fldChar w:fldCharType="separate"/>
    </w:r>
    <w:r w:rsidR="00A509AA">
      <w:rPr>
        <w:b/>
        <w:bCs/>
        <w:noProof/>
        <w:color w:val="000000"/>
        <w:sz w:val="18"/>
        <w:szCs w:val="18"/>
      </w:rPr>
      <w:t>1</w:t>
    </w:r>
    <w:r>
      <w:rPr>
        <w:b/>
        <w:bCs/>
        <w:color w:val="000000"/>
        <w:sz w:val="18"/>
        <w:szCs w:val="18"/>
      </w:rPr>
      <w:fldChar w:fldCharType="end"/>
    </w:r>
    <w:r>
      <w:rPr>
        <w:rFonts w:eastAsia="Times New Roman"/>
        <w:b/>
        <w:bCs/>
        <w:noProof/>
        <w:color w:val="000000"/>
        <w:sz w:val="18"/>
        <w:szCs w:val="18"/>
      </w:rPr>
      <w:t xml:space="preserve"> of </w:t>
    </w:r>
    <w:r>
      <w:rPr>
        <w:rFonts w:eastAsia="Times New Roman"/>
        <w:b/>
        <w:bCs/>
        <w:noProof/>
        <w:color w:val="000000"/>
        <w:sz w:val="18"/>
        <w:szCs w:val="18"/>
      </w:rPr>
      <w:fldChar w:fldCharType="begin"/>
    </w:r>
    <w:r>
      <w:rPr>
        <w:rFonts w:eastAsia="Times New Roman"/>
        <w:b/>
        <w:bCs/>
        <w:noProof/>
        <w:color w:val="000000"/>
        <w:sz w:val="18"/>
        <w:szCs w:val="18"/>
      </w:rPr>
      <w:instrText>NUMPAGES \* MERGEFORMAT</w:instrText>
    </w:r>
    <w:r>
      <w:rPr>
        <w:rFonts w:eastAsia="Times New Roman"/>
        <w:b/>
        <w:bCs/>
        <w:noProof/>
        <w:color w:val="000000"/>
        <w:sz w:val="18"/>
        <w:szCs w:val="18"/>
      </w:rPr>
      <w:fldChar w:fldCharType="separate"/>
    </w:r>
    <w:r w:rsidR="00A509AA">
      <w:rPr>
        <w:rFonts w:eastAsia="Times New Roman"/>
        <w:b/>
        <w:bCs/>
        <w:noProof/>
        <w:color w:val="000000"/>
        <w:sz w:val="18"/>
        <w:szCs w:val="18"/>
      </w:rPr>
      <w:t>3</w:t>
    </w:r>
    <w:r>
      <w:rPr>
        <w:rFonts w:eastAsia="Times New Roman"/>
        <w:b/>
        <w:bCs/>
        <w:noProof/>
        <w:color w:val="000000"/>
        <w:sz w:val="18"/>
        <w:szCs w:val="18"/>
      </w:rPr>
      <w:fldChar w:fldCharType="end"/>
    </w:r>
    <w:r>
      <w:rPr>
        <w:color w:val="000000"/>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2C4C" w:rsidRDefault="008E2C4C">
      <w:pPr>
        <w:spacing w:after="0" w:line="240" w:lineRule="auto"/>
      </w:pPr>
      <w:r>
        <w:separator/>
      </w:r>
    </w:p>
  </w:footnote>
  <w:footnote w:type="continuationSeparator" w:id="0">
    <w:p w:rsidR="008E2C4C" w:rsidRDefault="008E2C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C3BBD"/>
    <w:multiLevelType w:val="hybridMultilevel"/>
    <w:tmpl w:val="5F7476B2"/>
    <w:lvl w:ilvl="0" w:tplc="A9023342">
      <w:start w:val="1"/>
      <w:numFmt w:val="lowerRoman"/>
      <w:lvlText w:val="%1."/>
      <w:lvlJc w:val="left"/>
      <w:pPr>
        <w:ind w:left="1108" w:hanging="720"/>
      </w:pPr>
      <w:rPr>
        <w:rFonts w:hint="default"/>
      </w:rPr>
    </w:lvl>
    <w:lvl w:ilvl="1" w:tplc="D4984BAC" w:tentative="1">
      <w:start w:val="1"/>
      <w:numFmt w:val="lowerLetter"/>
      <w:lvlText w:val="%2."/>
      <w:lvlJc w:val="left"/>
      <w:pPr>
        <w:ind w:left="1468" w:hanging="360"/>
      </w:pPr>
    </w:lvl>
    <w:lvl w:ilvl="2" w:tplc="569AAB28" w:tentative="1">
      <w:start w:val="1"/>
      <w:numFmt w:val="lowerRoman"/>
      <w:lvlText w:val="%3."/>
      <w:lvlJc w:val="right"/>
      <w:pPr>
        <w:ind w:left="2188" w:hanging="180"/>
      </w:pPr>
    </w:lvl>
    <w:lvl w:ilvl="3" w:tplc="89CE3B76" w:tentative="1">
      <w:start w:val="1"/>
      <w:numFmt w:val="decimal"/>
      <w:lvlText w:val="%4."/>
      <w:lvlJc w:val="left"/>
      <w:pPr>
        <w:ind w:left="2908" w:hanging="360"/>
      </w:pPr>
    </w:lvl>
    <w:lvl w:ilvl="4" w:tplc="79BE1090" w:tentative="1">
      <w:start w:val="1"/>
      <w:numFmt w:val="lowerLetter"/>
      <w:lvlText w:val="%5."/>
      <w:lvlJc w:val="left"/>
      <w:pPr>
        <w:ind w:left="3628" w:hanging="360"/>
      </w:pPr>
    </w:lvl>
    <w:lvl w:ilvl="5" w:tplc="DC788256" w:tentative="1">
      <w:start w:val="1"/>
      <w:numFmt w:val="lowerRoman"/>
      <w:lvlText w:val="%6."/>
      <w:lvlJc w:val="right"/>
      <w:pPr>
        <w:ind w:left="4348" w:hanging="180"/>
      </w:pPr>
    </w:lvl>
    <w:lvl w:ilvl="6" w:tplc="87C632FE" w:tentative="1">
      <w:start w:val="1"/>
      <w:numFmt w:val="decimal"/>
      <w:lvlText w:val="%7."/>
      <w:lvlJc w:val="left"/>
      <w:pPr>
        <w:ind w:left="5068" w:hanging="360"/>
      </w:pPr>
    </w:lvl>
    <w:lvl w:ilvl="7" w:tplc="C7662972" w:tentative="1">
      <w:start w:val="1"/>
      <w:numFmt w:val="lowerLetter"/>
      <w:lvlText w:val="%8."/>
      <w:lvlJc w:val="left"/>
      <w:pPr>
        <w:ind w:left="5788" w:hanging="360"/>
      </w:pPr>
    </w:lvl>
    <w:lvl w:ilvl="8" w:tplc="5F1C493C" w:tentative="1">
      <w:start w:val="1"/>
      <w:numFmt w:val="lowerRoman"/>
      <w:lvlText w:val="%9."/>
      <w:lvlJc w:val="right"/>
      <w:pPr>
        <w:ind w:left="6508" w:hanging="180"/>
      </w:pPr>
    </w:lvl>
  </w:abstractNum>
  <w:abstractNum w:abstractNumId="1" w15:restartNumberingAfterBreak="0">
    <w:nsid w:val="148911FD"/>
    <w:multiLevelType w:val="hybridMultilevel"/>
    <w:tmpl w:val="2372352C"/>
    <w:lvl w:ilvl="0" w:tplc="219E1CBE">
      <w:start w:val="1"/>
      <w:numFmt w:val="decimal"/>
      <w:lvlText w:val="%1."/>
      <w:lvlJc w:val="left"/>
      <w:pPr>
        <w:ind w:left="746" w:hanging="360"/>
      </w:pPr>
      <w:rPr>
        <w:rFonts w:hint="default"/>
      </w:rPr>
    </w:lvl>
    <w:lvl w:ilvl="1" w:tplc="FC8AD6BE" w:tentative="1">
      <w:start w:val="1"/>
      <w:numFmt w:val="lowerLetter"/>
      <w:lvlText w:val="%2."/>
      <w:lvlJc w:val="left"/>
      <w:pPr>
        <w:ind w:left="1466" w:hanging="360"/>
      </w:pPr>
    </w:lvl>
    <w:lvl w:ilvl="2" w:tplc="B7E8EA10" w:tentative="1">
      <w:start w:val="1"/>
      <w:numFmt w:val="lowerRoman"/>
      <w:lvlText w:val="%3."/>
      <w:lvlJc w:val="right"/>
      <w:pPr>
        <w:ind w:left="2186" w:hanging="180"/>
      </w:pPr>
    </w:lvl>
    <w:lvl w:ilvl="3" w:tplc="FEA82B48" w:tentative="1">
      <w:start w:val="1"/>
      <w:numFmt w:val="decimal"/>
      <w:lvlText w:val="%4."/>
      <w:lvlJc w:val="left"/>
      <w:pPr>
        <w:ind w:left="2906" w:hanging="360"/>
      </w:pPr>
    </w:lvl>
    <w:lvl w:ilvl="4" w:tplc="B7165AC4" w:tentative="1">
      <w:start w:val="1"/>
      <w:numFmt w:val="lowerLetter"/>
      <w:lvlText w:val="%5."/>
      <w:lvlJc w:val="left"/>
      <w:pPr>
        <w:ind w:left="3626" w:hanging="360"/>
      </w:pPr>
    </w:lvl>
    <w:lvl w:ilvl="5" w:tplc="A4E2175A" w:tentative="1">
      <w:start w:val="1"/>
      <w:numFmt w:val="lowerRoman"/>
      <w:lvlText w:val="%6."/>
      <w:lvlJc w:val="right"/>
      <w:pPr>
        <w:ind w:left="4346" w:hanging="180"/>
      </w:pPr>
    </w:lvl>
    <w:lvl w:ilvl="6" w:tplc="521EB5E4" w:tentative="1">
      <w:start w:val="1"/>
      <w:numFmt w:val="decimal"/>
      <w:lvlText w:val="%7."/>
      <w:lvlJc w:val="left"/>
      <w:pPr>
        <w:ind w:left="5066" w:hanging="360"/>
      </w:pPr>
    </w:lvl>
    <w:lvl w:ilvl="7" w:tplc="72663C5C" w:tentative="1">
      <w:start w:val="1"/>
      <w:numFmt w:val="lowerLetter"/>
      <w:lvlText w:val="%8."/>
      <w:lvlJc w:val="left"/>
      <w:pPr>
        <w:ind w:left="5786" w:hanging="360"/>
      </w:pPr>
    </w:lvl>
    <w:lvl w:ilvl="8" w:tplc="DDE2BB26" w:tentative="1">
      <w:start w:val="1"/>
      <w:numFmt w:val="lowerRoman"/>
      <w:lvlText w:val="%9."/>
      <w:lvlJc w:val="right"/>
      <w:pPr>
        <w:ind w:left="6506" w:hanging="180"/>
      </w:pPr>
    </w:lvl>
  </w:abstractNum>
  <w:abstractNum w:abstractNumId="2" w15:restartNumberingAfterBreak="0">
    <w:nsid w:val="1A6D6FC6"/>
    <w:multiLevelType w:val="hybridMultilevel"/>
    <w:tmpl w:val="E778710A"/>
    <w:lvl w:ilvl="0" w:tplc="BDCA862C">
      <w:start w:val="1"/>
      <w:numFmt w:val="lowerRoman"/>
      <w:lvlText w:val="%1."/>
      <w:lvlJc w:val="left"/>
      <w:pPr>
        <w:ind w:left="958" w:hanging="720"/>
      </w:pPr>
      <w:rPr>
        <w:rFonts w:hint="default"/>
      </w:rPr>
    </w:lvl>
    <w:lvl w:ilvl="1" w:tplc="CE38F088" w:tentative="1">
      <w:start w:val="1"/>
      <w:numFmt w:val="lowerLetter"/>
      <w:lvlText w:val="%2."/>
      <w:lvlJc w:val="left"/>
      <w:pPr>
        <w:ind w:left="1318" w:hanging="360"/>
      </w:pPr>
    </w:lvl>
    <w:lvl w:ilvl="2" w:tplc="4B486230" w:tentative="1">
      <w:start w:val="1"/>
      <w:numFmt w:val="lowerRoman"/>
      <w:lvlText w:val="%3."/>
      <w:lvlJc w:val="right"/>
      <w:pPr>
        <w:ind w:left="2038" w:hanging="180"/>
      </w:pPr>
    </w:lvl>
    <w:lvl w:ilvl="3" w:tplc="2EC6CB70" w:tentative="1">
      <w:start w:val="1"/>
      <w:numFmt w:val="decimal"/>
      <w:lvlText w:val="%4."/>
      <w:lvlJc w:val="left"/>
      <w:pPr>
        <w:ind w:left="2758" w:hanging="360"/>
      </w:pPr>
    </w:lvl>
    <w:lvl w:ilvl="4" w:tplc="361E818C" w:tentative="1">
      <w:start w:val="1"/>
      <w:numFmt w:val="lowerLetter"/>
      <w:lvlText w:val="%5."/>
      <w:lvlJc w:val="left"/>
      <w:pPr>
        <w:ind w:left="3478" w:hanging="360"/>
      </w:pPr>
    </w:lvl>
    <w:lvl w:ilvl="5" w:tplc="67046AD6" w:tentative="1">
      <w:start w:val="1"/>
      <w:numFmt w:val="lowerRoman"/>
      <w:lvlText w:val="%6."/>
      <w:lvlJc w:val="right"/>
      <w:pPr>
        <w:ind w:left="4198" w:hanging="180"/>
      </w:pPr>
    </w:lvl>
    <w:lvl w:ilvl="6" w:tplc="18F2532E" w:tentative="1">
      <w:start w:val="1"/>
      <w:numFmt w:val="decimal"/>
      <w:lvlText w:val="%7."/>
      <w:lvlJc w:val="left"/>
      <w:pPr>
        <w:ind w:left="4918" w:hanging="360"/>
      </w:pPr>
    </w:lvl>
    <w:lvl w:ilvl="7" w:tplc="91888EDE" w:tentative="1">
      <w:start w:val="1"/>
      <w:numFmt w:val="lowerLetter"/>
      <w:lvlText w:val="%8."/>
      <w:lvlJc w:val="left"/>
      <w:pPr>
        <w:ind w:left="5638" w:hanging="360"/>
      </w:pPr>
    </w:lvl>
    <w:lvl w:ilvl="8" w:tplc="84809106" w:tentative="1">
      <w:start w:val="1"/>
      <w:numFmt w:val="lowerRoman"/>
      <w:lvlText w:val="%9."/>
      <w:lvlJc w:val="right"/>
      <w:pPr>
        <w:ind w:left="6358" w:hanging="180"/>
      </w:pPr>
    </w:lvl>
  </w:abstractNum>
  <w:abstractNum w:abstractNumId="3" w15:restartNumberingAfterBreak="0">
    <w:nsid w:val="24DD5B8B"/>
    <w:multiLevelType w:val="hybridMultilevel"/>
    <w:tmpl w:val="D7F43CB8"/>
    <w:lvl w:ilvl="0" w:tplc="6B9A7AB4">
      <w:start w:val="1"/>
      <w:numFmt w:val="lowerRoman"/>
      <w:lvlText w:val="%1."/>
      <w:lvlJc w:val="left"/>
      <w:pPr>
        <w:ind w:left="1108" w:hanging="720"/>
      </w:pPr>
      <w:rPr>
        <w:rFonts w:hint="default"/>
      </w:rPr>
    </w:lvl>
    <w:lvl w:ilvl="1" w:tplc="E5BAA6F0" w:tentative="1">
      <w:start w:val="1"/>
      <w:numFmt w:val="lowerLetter"/>
      <w:lvlText w:val="%2."/>
      <w:lvlJc w:val="left"/>
      <w:pPr>
        <w:ind w:left="1468" w:hanging="360"/>
      </w:pPr>
    </w:lvl>
    <w:lvl w:ilvl="2" w:tplc="F260CD62" w:tentative="1">
      <w:start w:val="1"/>
      <w:numFmt w:val="lowerRoman"/>
      <w:lvlText w:val="%3."/>
      <w:lvlJc w:val="right"/>
      <w:pPr>
        <w:ind w:left="2188" w:hanging="180"/>
      </w:pPr>
    </w:lvl>
    <w:lvl w:ilvl="3" w:tplc="9F54C1D6" w:tentative="1">
      <w:start w:val="1"/>
      <w:numFmt w:val="decimal"/>
      <w:lvlText w:val="%4."/>
      <w:lvlJc w:val="left"/>
      <w:pPr>
        <w:ind w:left="2908" w:hanging="360"/>
      </w:pPr>
    </w:lvl>
    <w:lvl w:ilvl="4" w:tplc="B562DE8E" w:tentative="1">
      <w:start w:val="1"/>
      <w:numFmt w:val="lowerLetter"/>
      <w:lvlText w:val="%5."/>
      <w:lvlJc w:val="left"/>
      <w:pPr>
        <w:ind w:left="3628" w:hanging="360"/>
      </w:pPr>
    </w:lvl>
    <w:lvl w:ilvl="5" w:tplc="AF5CC8A0" w:tentative="1">
      <w:start w:val="1"/>
      <w:numFmt w:val="lowerRoman"/>
      <w:lvlText w:val="%6."/>
      <w:lvlJc w:val="right"/>
      <w:pPr>
        <w:ind w:left="4348" w:hanging="180"/>
      </w:pPr>
    </w:lvl>
    <w:lvl w:ilvl="6" w:tplc="4F46868A" w:tentative="1">
      <w:start w:val="1"/>
      <w:numFmt w:val="decimal"/>
      <w:lvlText w:val="%7."/>
      <w:lvlJc w:val="left"/>
      <w:pPr>
        <w:ind w:left="5068" w:hanging="360"/>
      </w:pPr>
    </w:lvl>
    <w:lvl w:ilvl="7" w:tplc="CFB04210" w:tentative="1">
      <w:start w:val="1"/>
      <w:numFmt w:val="lowerLetter"/>
      <w:lvlText w:val="%8."/>
      <w:lvlJc w:val="left"/>
      <w:pPr>
        <w:ind w:left="5788" w:hanging="360"/>
      </w:pPr>
    </w:lvl>
    <w:lvl w:ilvl="8" w:tplc="C2E0C47E" w:tentative="1">
      <w:start w:val="1"/>
      <w:numFmt w:val="lowerRoman"/>
      <w:lvlText w:val="%9."/>
      <w:lvlJc w:val="right"/>
      <w:pPr>
        <w:ind w:left="6508"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985"/>
    <w:rsid w:val="008E2C4C"/>
    <w:rsid w:val="00A509AA"/>
    <w:rsid w:val="00AA49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D4FA3"/>
  <w15:docId w15:val="{6926B317-5C52-46DC-B3B8-2A82BAD61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93F"/>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8154F"/>
    <w:rPr>
      <w:sz w:val="16"/>
      <w:szCs w:val="16"/>
    </w:rPr>
  </w:style>
  <w:style w:type="paragraph" w:styleId="CommentText">
    <w:name w:val="annotation text"/>
    <w:basedOn w:val="Normal"/>
    <w:link w:val="CommentTextChar"/>
    <w:uiPriority w:val="99"/>
    <w:semiHidden/>
    <w:unhideWhenUsed/>
    <w:rsid w:val="0028154F"/>
    <w:pPr>
      <w:spacing w:line="240" w:lineRule="auto"/>
    </w:pPr>
    <w:rPr>
      <w:szCs w:val="20"/>
    </w:rPr>
  </w:style>
  <w:style w:type="character" w:customStyle="1" w:styleId="CommentTextChar">
    <w:name w:val="Comment Text Char"/>
    <w:basedOn w:val="DefaultParagraphFont"/>
    <w:link w:val="CommentText"/>
    <w:uiPriority w:val="99"/>
    <w:semiHidden/>
    <w:rsid w:val="0028154F"/>
    <w:rPr>
      <w:sz w:val="20"/>
      <w:szCs w:val="20"/>
    </w:rPr>
  </w:style>
  <w:style w:type="paragraph" w:styleId="CommentSubject">
    <w:name w:val="annotation subject"/>
    <w:basedOn w:val="CommentText"/>
    <w:next w:val="CommentText"/>
    <w:link w:val="CommentSubjectChar"/>
    <w:uiPriority w:val="99"/>
    <w:semiHidden/>
    <w:unhideWhenUsed/>
    <w:rsid w:val="0028154F"/>
    <w:rPr>
      <w:b/>
      <w:bCs/>
    </w:rPr>
  </w:style>
  <w:style w:type="character" w:customStyle="1" w:styleId="CommentSubjectChar">
    <w:name w:val="Comment Subject Char"/>
    <w:basedOn w:val="CommentTextChar"/>
    <w:link w:val="CommentSubject"/>
    <w:uiPriority w:val="99"/>
    <w:semiHidden/>
    <w:rsid w:val="0028154F"/>
    <w:rPr>
      <w:b/>
      <w:bCs/>
      <w:sz w:val="20"/>
      <w:szCs w:val="20"/>
    </w:rPr>
  </w:style>
  <w:style w:type="paragraph" w:styleId="BalloonText">
    <w:name w:val="Balloon Text"/>
    <w:basedOn w:val="Normal"/>
    <w:link w:val="BalloonTextChar"/>
    <w:uiPriority w:val="99"/>
    <w:semiHidden/>
    <w:unhideWhenUsed/>
    <w:rsid w:val="002815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54F"/>
    <w:rPr>
      <w:rFonts w:ascii="Tahoma" w:hAnsi="Tahoma" w:cs="Tahoma"/>
      <w:sz w:val="16"/>
      <w:szCs w:val="16"/>
    </w:rPr>
  </w:style>
  <w:style w:type="paragraph" w:styleId="ListParagraph">
    <w:name w:val="List Paragraph"/>
    <w:basedOn w:val="Normal"/>
    <w:uiPriority w:val="34"/>
    <w:qFormat/>
    <w:rsid w:val="00012D47"/>
    <w:pPr>
      <w:ind w:left="720"/>
      <w:contextualSpacing/>
    </w:pPr>
  </w:style>
  <w:style w:type="paragraph" w:styleId="Header">
    <w:name w:val="header"/>
    <w:basedOn w:val="Normal"/>
    <w:link w:val="HeaderChar"/>
    <w:uiPriority w:val="99"/>
    <w:unhideWhenUsed/>
    <w:rsid w:val="003B53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5334"/>
  </w:style>
  <w:style w:type="paragraph" w:styleId="Footer">
    <w:name w:val="footer"/>
    <w:basedOn w:val="Normal"/>
    <w:link w:val="FooterChar"/>
    <w:uiPriority w:val="99"/>
    <w:unhideWhenUsed/>
    <w:rsid w:val="003B53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5334"/>
  </w:style>
  <w:style w:type="paragraph" w:styleId="Revision">
    <w:name w:val="Revision"/>
    <w:hidden/>
    <w:uiPriority w:val="99"/>
    <w:semiHidden/>
    <w:rsid w:val="009F7B72"/>
    <w:pPr>
      <w:spacing w:after="0" w:line="240" w:lineRule="auto"/>
    </w:pPr>
  </w:style>
  <w:style w:type="paragraph" w:customStyle="1" w:styleId="Style17">
    <w:name w:val="Style17"/>
    <w:basedOn w:val="Normal"/>
    <w:uiPriority w:val="99"/>
    <w:rsid w:val="00D62DDC"/>
    <w:pPr>
      <w:widowControl w:val="0"/>
      <w:tabs>
        <w:tab w:val="left" w:pos="961"/>
        <w:tab w:val="center" w:pos="5145"/>
        <w:tab w:val="right" w:pos="9840"/>
      </w:tabs>
      <w:autoSpaceDE w:val="0"/>
      <w:autoSpaceDN w:val="0"/>
      <w:adjustRightInd w:val="0"/>
      <w:spacing w:after="0" w:line="240" w:lineRule="auto"/>
    </w:pPr>
    <w:rPr>
      <w:rFonts w:eastAsiaTheme="minorEastAsia" w:cs="Arial"/>
      <w:szCs w:val="20"/>
      <w:lang w:val="en-US" w:eastAsia="en-AU"/>
    </w:rPr>
  </w:style>
  <w:style w:type="character" w:styleId="IntenseEmphasis">
    <w:name w:val="Intense Emphasis"/>
    <w:basedOn w:val="DefaultParagraphFont"/>
    <w:uiPriority w:val="21"/>
    <w:qFormat/>
    <w:rsid w:val="00D51A79"/>
    <w:rPr>
      <w:b/>
      <w:bCs/>
      <w:i/>
      <w:iCs/>
      <w:color w:val="4F81BD" w:themeColor="accent1"/>
    </w:rPr>
  </w:style>
  <w:style w:type="character" w:customStyle="1" w:styleId="CommentReference0">
    <w:name w:val="Comment Reference_0"/>
    <w:basedOn w:val="DefaultParagraphFont"/>
    <w:uiPriority w:val="99"/>
    <w:semiHidden/>
    <w:unhideWhenUsed/>
    <w:rsid w:val="0028154F"/>
    <w:rPr>
      <w:rFonts w:ascii="Arial" w:eastAsiaTheme="minorHAnsi" w:hAnsi="Arial" w:cstheme="minorBidi"/>
      <w:sz w:val="16"/>
      <w:szCs w:val="16"/>
    </w:rPr>
  </w:style>
  <w:style w:type="paragraph" w:customStyle="1" w:styleId="CommentText0">
    <w:name w:val="Comment Text_0"/>
    <w:basedOn w:val="Normal0"/>
    <w:link w:val="CommentTextChar0"/>
    <w:uiPriority w:val="99"/>
    <w:semiHidden/>
    <w:unhideWhenUsed/>
    <w:rsid w:val="0028154F"/>
  </w:style>
  <w:style w:type="paragraph" w:customStyle="1" w:styleId="Normal0">
    <w:name w:val="Normal_0"/>
    <w:qFormat/>
    <w:rsid w:val="002A593F"/>
    <w:pPr>
      <w:spacing w:after="0" w:line="240" w:lineRule="auto"/>
    </w:pPr>
    <w:rPr>
      <w:rFonts w:ascii="Arial" w:hAnsi="Arial"/>
      <w:sz w:val="20"/>
      <w:szCs w:val="20"/>
    </w:rPr>
  </w:style>
  <w:style w:type="character" w:customStyle="1" w:styleId="CommentTextChar0">
    <w:name w:val="Comment Text Char_0"/>
    <w:basedOn w:val="DefaultParagraphFont"/>
    <w:link w:val="CommentText0"/>
    <w:uiPriority w:val="99"/>
    <w:semiHidden/>
    <w:rsid w:val="0028154F"/>
    <w:rPr>
      <w:sz w:val="20"/>
      <w:szCs w:val="20"/>
    </w:rPr>
  </w:style>
  <w:style w:type="paragraph" w:customStyle="1" w:styleId="Normal1">
    <w:name w:val="Normal_1"/>
    <w:qFormat/>
    <w:pPr>
      <w:spacing w:after="0" w:line="240" w:lineRule="auto"/>
    </w:pPr>
    <w:rPr>
      <w:rFonts w:ascii="Times New Roman" w:eastAsia="Times New Roman" w:hAnsi="Times New Roman" w:cs="Times New Roman"/>
      <w:sz w:val="24"/>
      <w:szCs w:val="24"/>
    </w:rPr>
  </w:style>
  <w:style w:type="character" w:customStyle="1" w:styleId="CommentReference1">
    <w:name w:val="Comment Reference_1"/>
    <w:basedOn w:val="DefaultParagraphFont"/>
    <w:uiPriority w:val="99"/>
    <w:semiHidden/>
    <w:unhideWhenUsed/>
    <w:rsid w:val="0028154F"/>
    <w:rPr>
      <w:rFonts w:ascii="Arial" w:eastAsiaTheme="minorHAnsi" w:hAnsi="Arial" w:cstheme="minorBidi"/>
      <w:sz w:val="16"/>
      <w:szCs w:val="16"/>
    </w:rPr>
  </w:style>
  <w:style w:type="paragraph" w:customStyle="1" w:styleId="CommentText1">
    <w:name w:val="Comment Text_1"/>
    <w:basedOn w:val="Normal00"/>
    <w:link w:val="CommentTextChar1"/>
    <w:uiPriority w:val="99"/>
    <w:semiHidden/>
    <w:unhideWhenUsed/>
    <w:rsid w:val="0028154F"/>
  </w:style>
  <w:style w:type="paragraph" w:customStyle="1" w:styleId="Normal00">
    <w:name w:val="Normal_0_0"/>
    <w:qFormat/>
    <w:rsid w:val="002A593F"/>
    <w:pPr>
      <w:spacing w:after="0" w:line="240" w:lineRule="auto"/>
    </w:pPr>
    <w:rPr>
      <w:rFonts w:ascii="Arial" w:hAnsi="Arial"/>
      <w:sz w:val="20"/>
      <w:szCs w:val="20"/>
    </w:rPr>
  </w:style>
  <w:style w:type="character" w:customStyle="1" w:styleId="CommentTextChar1">
    <w:name w:val="Comment Text Char_1"/>
    <w:basedOn w:val="DefaultParagraphFont"/>
    <w:link w:val="CommentText1"/>
    <w:uiPriority w:val="99"/>
    <w:semiHidden/>
    <w:rsid w:val="0028154F"/>
    <w:rPr>
      <w:sz w:val="20"/>
      <w:szCs w:val="20"/>
    </w:rPr>
  </w:style>
  <w:style w:type="paragraph" w:customStyle="1" w:styleId="Normal2">
    <w:name w:val="Normal_2"/>
    <w:qFormat/>
    <w:pPr>
      <w:spacing w:after="0" w:line="240" w:lineRule="auto"/>
    </w:pPr>
    <w:rPr>
      <w:rFonts w:ascii="Times New Roman" w:eastAsia="Times New Roman" w:hAnsi="Times New Roman" w:cs="Times New Roman"/>
      <w:sz w:val="24"/>
      <w:szCs w:val="24"/>
    </w:rPr>
  </w:style>
  <w:style w:type="character" w:customStyle="1" w:styleId="CommentReference2">
    <w:name w:val="Comment Reference_2"/>
    <w:basedOn w:val="DefaultParagraphFont"/>
    <w:uiPriority w:val="99"/>
    <w:semiHidden/>
    <w:unhideWhenUsed/>
    <w:rsid w:val="0028154F"/>
    <w:rPr>
      <w:rFonts w:ascii="Arial" w:eastAsiaTheme="minorHAnsi" w:hAnsi="Arial" w:cstheme="minorBidi"/>
      <w:sz w:val="16"/>
      <w:szCs w:val="16"/>
    </w:rPr>
  </w:style>
  <w:style w:type="paragraph" w:customStyle="1" w:styleId="CommentText2">
    <w:name w:val="Comment Text_2"/>
    <w:basedOn w:val="Normal01"/>
    <w:link w:val="CommentTextChar2"/>
    <w:uiPriority w:val="99"/>
    <w:semiHidden/>
    <w:unhideWhenUsed/>
    <w:rsid w:val="0028154F"/>
  </w:style>
  <w:style w:type="paragraph" w:customStyle="1" w:styleId="Normal01">
    <w:name w:val="Normal_0_1"/>
    <w:qFormat/>
    <w:rsid w:val="002A593F"/>
    <w:pPr>
      <w:spacing w:after="0" w:line="240" w:lineRule="auto"/>
    </w:pPr>
    <w:rPr>
      <w:rFonts w:ascii="Arial" w:hAnsi="Arial"/>
      <w:sz w:val="20"/>
      <w:szCs w:val="20"/>
    </w:rPr>
  </w:style>
  <w:style w:type="character" w:customStyle="1" w:styleId="CommentTextChar2">
    <w:name w:val="Comment Text Char_2"/>
    <w:basedOn w:val="DefaultParagraphFont"/>
    <w:link w:val="CommentText2"/>
    <w:uiPriority w:val="99"/>
    <w:semiHidden/>
    <w:rsid w:val="0028154F"/>
    <w:rPr>
      <w:sz w:val="20"/>
      <w:szCs w:val="20"/>
    </w:rPr>
  </w:style>
  <w:style w:type="paragraph" w:customStyle="1" w:styleId="Normal3">
    <w:name w:val="Normal_3"/>
    <w:qFormat/>
    <w:pPr>
      <w:spacing w:after="0" w:line="240" w:lineRule="auto"/>
    </w:pPr>
    <w:rPr>
      <w:rFonts w:ascii="Times New Roman" w:eastAsia="Times New Roman" w:hAnsi="Times New Roman" w:cs="Times New Roman"/>
      <w:sz w:val="24"/>
      <w:szCs w:val="24"/>
    </w:rPr>
  </w:style>
  <w:style w:type="character" w:customStyle="1" w:styleId="CommentReference3">
    <w:name w:val="Comment Reference_3"/>
    <w:basedOn w:val="DefaultParagraphFont"/>
    <w:uiPriority w:val="99"/>
    <w:semiHidden/>
    <w:unhideWhenUsed/>
    <w:rsid w:val="0028154F"/>
    <w:rPr>
      <w:rFonts w:ascii="Arial" w:eastAsiaTheme="minorHAnsi" w:hAnsi="Arial" w:cstheme="minorBidi"/>
      <w:sz w:val="16"/>
      <w:szCs w:val="16"/>
    </w:rPr>
  </w:style>
  <w:style w:type="paragraph" w:customStyle="1" w:styleId="CommentText3">
    <w:name w:val="Comment Text_3"/>
    <w:basedOn w:val="Normal02"/>
    <w:link w:val="CommentTextChar3"/>
    <w:uiPriority w:val="99"/>
    <w:semiHidden/>
    <w:unhideWhenUsed/>
    <w:rsid w:val="0028154F"/>
  </w:style>
  <w:style w:type="paragraph" w:customStyle="1" w:styleId="Normal02">
    <w:name w:val="Normal_0_2"/>
    <w:qFormat/>
    <w:rsid w:val="002A593F"/>
    <w:pPr>
      <w:spacing w:after="0" w:line="240" w:lineRule="auto"/>
    </w:pPr>
    <w:rPr>
      <w:rFonts w:ascii="Arial" w:hAnsi="Arial"/>
      <w:sz w:val="20"/>
      <w:szCs w:val="20"/>
    </w:rPr>
  </w:style>
  <w:style w:type="character" w:customStyle="1" w:styleId="CommentTextChar3">
    <w:name w:val="Comment Text Char_3"/>
    <w:basedOn w:val="DefaultParagraphFont"/>
    <w:link w:val="CommentText3"/>
    <w:uiPriority w:val="99"/>
    <w:semiHidden/>
    <w:rsid w:val="0028154F"/>
    <w:rPr>
      <w:sz w:val="20"/>
      <w:szCs w:val="20"/>
    </w:rPr>
  </w:style>
  <w:style w:type="paragraph" w:customStyle="1" w:styleId="Normal4">
    <w:name w:val="Normal_4"/>
    <w:qFormat/>
    <w:pPr>
      <w:spacing w:after="0" w:line="240" w:lineRule="auto"/>
    </w:pPr>
    <w:rPr>
      <w:rFonts w:ascii="Times New Roman" w:eastAsia="Times New Roman" w:hAnsi="Times New Roman" w:cs="Times New Roman"/>
      <w:sz w:val="24"/>
      <w:szCs w:val="24"/>
    </w:rPr>
  </w:style>
  <w:style w:type="character" w:customStyle="1" w:styleId="CommentReference4">
    <w:name w:val="Comment Reference_4"/>
    <w:basedOn w:val="DefaultParagraphFont"/>
    <w:uiPriority w:val="99"/>
    <w:semiHidden/>
    <w:unhideWhenUsed/>
    <w:rsid w:val="0028154F"/>
    <w:rPr>
      <w:rFonts w:ascii="Arial" w:eastAsiaTheme="minorHAnsi" w:hAnsi="Arial" w:cstheme="minorBidi"/>
      <w:sz w:val="16"/>
      <w:szCs w:val="16"/>
    </w:rPr>
  </w:style>
  <w:style w:type="paragraph" w:customStyle="1" w:styleId="CommentText4">
    <w:name w:val="Comment Text_4"/>
    <w:basedOn w:val="Normal03"/>
    <w:link w:val="CommentTextChar4"/>
    <w:uiPriority w:val="99"/>
    <w:semiHidden/>
    <w:unhideWhenUsed/>
    <w:rsid w:val="0028154F"/>
  </w:style>
  <w:style w:type="paragraph" w:customStyle="1" w:styleId="Normal03">
    <w:name w:val="Normal_0_3"/>
    <w:qFormat/>
    <w:rsid w:val="002A593F"/>
    <w:pPr>
      <w:spacing w:after="0" w:line="240" w:lineRule="auto"/>
    </w:pPr>
    <w:rPr>
      <w:rFonts w:ascii="Arial" w:hAnsi="Arial"/>
      <w:sz w:val="20"/>
      <w:szCs w:val="20"/>
    </w:rPr>
  </w:style>
  <w:style w:type="character" w:customStyle="1" w:styleId="CommentTextChar4">
    <w:name w:val="Comment Text Char_4"/>
    <w:basedOn w:val="DefaultParagraphFont"/>
    <w:link w:val="CommentText4"/>
    <w:uiPriority w:val="99"/>
    <w:semiHidden/>
    <w:rsid w:val="0028154F"/>
    <w:rPr>
      <w:sz w:val="20"/>
      <w:szCs w:val="20"/>
    </w:rPr>
  </w:style>
  <w:style w:type="paragraph" w:customStyle="1" w:styleId="Normal5">
    <w:name w:val="Normal_5"/>
    <w:qFormat/>
    <w:pPr>
      <w:spacing w:after="0" w:line="240" w:lineRule="auto"/>
    </w:pPr>
    <w:rPr>
      <w:rFonts w:ascii="Times New Roman" w:eastAsia="Times New Roman" w:hAnsi="Times New Roman" w:cs="Times New Roman"/>
      <w:sz w:val="24"/>
      <w:szCs w:val="24"/>
    </w:rPr>
  </w:style>
  <w:style w:type="character" w:customStyle="1" w:styleId="CommentReference5">
    <w:name w:val="Comment Reference_5"/>
    <w:basedOn w:val="DefaultParagraphFont"/>
    <w:uiPriority w:val="99"/>
    <w:semiHidden/>
    <w:unhideWhenUsed/>
    <w:rsid w:val="0028154F"/>
    <w:rPr>
      <w:rFonts w:ascii="Arial" w:eastAsiaTheme="minorHAnsi" w:hAnsi="Arial" w:cstheme="minorBidi"/>
      <w:sz w:val="16"/>
      <w:szCs w:val="16"/>
    </w:rPr>
  </w:style>
  <w:style w:type="paragraph" w:customStyle="1" w:styleId="CommentText5">
    <w:name w:val="Comment Text_5"/>
    <w:basedOn w:val="Normal04"/>
    <w:link w:val="CommentTextChar5"/>
    <w:uiPriority w:val="99"/>
    <w:semiHidden/>
    <w:unhideWhenUsed/>
    <w:rsid w:val="0028154F"/>
  </w:style>
  <w:style w:type="paragraph" w:customStyle="1" w:styleId="Normal04">
    <w:name w:val="Normal_0_4"/>
    <w:qFormat/>
    <w:rsid w:val="002A593F"/>
    <w:pPr>
      <w:spacing w:after="0" w:line="240" w:lineRule="auto"/>
    </w:pPr>
    <w:rPr>
      <w:rFonts w:ascii="Arial" w:hAnsi="Arial"/>
      <w:sz w:val="20"/>
      <w:szCs w:val="20"/>
    </w:rPr>
  </w:style>
  <w:style w:type="character" w:customStyle="1" w:styleId="CommentTextChar5">
    <w:name w:val="Comment Text Char_5"/>
    <w:basedOn w:val="DefaultParagraphFont"/>
    <w:link w:val="CommentText5"/>
    <w:uiPriority w:val="99"/>
    <w:semiHidden/>
    <w:rsid w:val="0028154F"/>
    <w:rPr>
      <w:sz w:val="20"/>
      <w:szCs w:val="20"/>
    </w:rPr>
  </w:style>
  <w:style w:type="paragraph" w:customStyle="1" w:styleId="Normal6">
    <w:name w:val="Normal_6"/>
    <w:qFormat/>
    <w:pPr>
      <w:spacing w:after="0" w:line="240" w:lineRule="auto"/>
    </w:pPr>
    <w:rPr>
      <w:rFonts w:ascii="Times New Roman" w:eastAsia="Times New Roman" w:hAnsi="Times New Roman" w:cs="Times New Roman"/>
      <w:sz w:val="24"/>
      <w:szCs w:val="24"/>
    </w:rPr>
  </w:style>
  <w:style w:type="character" w:customStyle="1" w:styleId="CommentReference6">
    <w:name w:val="Comment Reference_6"/>
    <w:basedOn w:val="DefaultParagraphFont"/>
    <w:uiPriority w:val="99"/>
    <w:semiHidden/>
    <w:unhideWhenUsed/>
    <w:rsid w:val="0028154F"/>
    <w:rPr>
      <w:rFonts w:ascii="Arial" w:eastAsiaTheme="minorHAnsi" w:hAnsi="Arial" w:cstheme="minorBidi"/>
      <w:sz w:val="16"/>
      <w:szCs w:val="16"/>
    </w:rPr>
  </w:style>
  <w:style w:type="paragraph" w:customStyle="1" w:styleId="CommentText6">
    <w:name w:val="Comment Text_6"/>
    <w:basedOn w:val="Normal05"/>
    <w:link w:val="CommentTextChar6"/>
    <w:uiPriority w:val="99"/>
    <w:semiHidden/>
    <w:unhideWhenUsed/>
    <w:rsid w:val="0028154F"/>
  </w:style>
  <w:style w:type="paragraph" w:customStyle="1" w:styleId="Normal05">
    <w:name w:val="Normal_0_5"/>
    <w:qFormat/>
    <w:rsid w:val="002A593F"/>
    <w:pPr>
      <w:spacing w:after="0" w:line="240" w:lineRule="auto"/>
    </w:pPr>
    <w:rPr>
      <w:rFonts w:ascii="Arial" w:hAnsi="Arial"/>
      <w:sz w:val="20"/>
      <w:szCs w:val="20"/>
    </w:rPr>
  </w:style>
  <w:style w:type="character" w:customStyle="1" w:styleId="CommentTextChar6">
    <w:name w:val="Comment Text Char_6"/>
    <w:basedOn w:val="DefaultParagraphFont"/>
    <w:link w:val="CommentText6"/>
    <w:uiPriority w:val="99"/>
    <w:semiHidden/>
    <w:rsid w:val="0028154F"/>
    <w:rPr>
      <w:sz w:val="20"/>
      <w:szCs w:val="20"/>
    </w:rPr>
  </w:style>
  <w:style w:type="paragraph" w:customStyle="1" w:styleId="Normal7">
    <w:name w:val="Normal_7"/>
    <w:qFormat/>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1524</Words>
  <Characters>8690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Shane Brierley</dc:creator>
  <cp:lastModifiedBy>Sha Sha</cp:lastModifiedBy>
  <cp:revision>2</cp:revision>
  <cp:lastPrinted>2014-07-21T23:46:00Z</cp:lastPrinted>
  <dcterms:created xsi:type="dcterms:W3CDTF">2018-02-09T05:14:00Z</dcterms:created>
  <dcterms:modified xsi:type="dcterms:W3CDTF">2018-02-09T05:14:00Z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ost">
    <vt:lpwstr>https://services.classsuper.com.au/</vt:lpwstr>
  </property>
</Properties>
</file>